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B9A50" w14:textId="77777777" w:rsidR="00057EA2" w:rsidRDefault="00057EA2">
      <w:pPr>
        <w:spacing w:after="0" w:line="550" w:lineRule="exact"/>
        <w:ind w:firstLineChars="0" w:firstLine="0"/>
        <w:jc w:val="center"/>
        <w:rPr>
          <w:rFonts w:ascii="Times New Roman" w:eastAsia="方正小标宋_GBK" w:hAnsi="Times New Roman" w:cs="方正小标宋_GBK"/>
          <w:color w:val="000000" w:themeColor="text1"/>
          <w:kern w:val="0"/>
          <w:sz w:val="44"/>
          <w:szCs w:val="44"/>
        </w:rPr>
      </w:pPr>
      <w:bookmarkStart w:id="0" w:name="_Toc1972107348"/>
    </w:p>
    <w:p w14:paraId="585BC35B" w14:textId="77777777" w:rsidR="00057EA2" w:rsidRDefault="00000000">
      <w:pPr>
        <w:spacing w:after="0" w:line="550" w:lineRule="exact"/>
        <w:ind w:firstLineChars="0" w:firstLine="0"/>
        <w:jc w:val="center"/>
        <w:rPr>
          <w:rFonts w:ascii="Times New Roman" w:eastAsia="方正小标宋_GBK" w:hAnsi="Times New Roman" w:cs="方正小标宋_GBK"/>
          <w:color w:val="000000" w:themeColor="text1"/>
          <w:kern w:val="0"/>
          <w:sz w:val="44"/>
          <w:szCs w:val="44"/>
        </w:rPr>
      </w:pPr>
      <w:r>
        <w:rPr>
          <w:rFonts w:ascii="Times New Roman" w:eastAsia="方正小标宋_GBK" w:hAnsi="Times New Roman" w:cs="方正小标宋_GBK" w:hint="eastAsia"/>
          <w:color w:val="000000" w:themeColor="text1"/>
          <w:kern w:val="0"/>
          <w:sz w:val="44"/>
          <w:szCs w:val="44"/>
        </w:rPr>
        <w:t>互联网平台反垄断合规指引</w:t>
      </w:r>
      <w:bookmarkEnd w:id="0"/>
    </w:p>
    <w:p w14:paraId="53626129" w14:textId="77777777" w:rsidR="00057EA2" w:rsidRDefault="00000000">
      <w:pPr>
        <w:spacing w:after="0" w:line="550" w:lineRule="exact"/>
        <w:ind w:firstLineChars="0" w:firstLine="0"/>
        <w:jc w:val="center"/>
        <w:rPr>
          <w:rFonts w:ascii="Times New Roman" w:eastAsia="方正楷体_GBK" w:hAnsi="Times New Roman" w:cs="方正楷体_GBK"/>
          <w:color w:val="000000" w:themeColor="text1"/>
          <w:kern w:val="0"/>
          <w:sz w:val="32"/>
          <w:szCs w:val="32"/>
        </w:rPr>
      </w:pPr>
      <w:r>
        <w:rPr>
          <w:rFonts w:ascii="Times New Roman" w:eastAsia="方正楷体_GBK" w:hAnsi="Times New Roman" w:cs="方正楷体_GBK" w:hint="eastAsia"/>
          <w:color w:val="000000" w:themeColor="text1"/>
          <w:kern w:val="0"/>
          <w:sz w:val="32"/>
          <w:szCs w:val="32"/>
        </w:rPr>
        <w:t>（征求意见稿）</w:t>
      </w:r>
    </w:p>
    <w:p w14:paraId="00363957" w14:textId="77777777" w:rsidR="00057EA2" w:rsidRDefault="00057EA2">
      <w:pPr>
        <w:spacing w:after="0" w:line="550" w:lineRule="exact"/>
        <w:ind w:firstLineChars="0" w:firstLine="0"/>
        <w:jc w:val="center"/>
        <w:outlineLvl w:val="0"/>
        <w:rPr>
          <w:rFonts w:ascii="Times New Roman" w:eastAsia="黑体" w:hAnsi="Times New Roman" w:cs="黑体"/>
          <w:color w:val="000000" w:themeColor="text1"/>
          <w:kern w:val="0"/>
          <w:sz w:val="32"/>
          <w:szCs w:val="32"/>
        </w:rPr>
      </w:pPr>
      <w:bookmarkStart w:id="1" w:name="_Toc542035533"/>
      <w:bookmarkStart w:id="2" w:name="_Toc1886057722"/>
      <w:bookmarkStart w:id="3" w:name="_Toc1217874041"/>
    </w:p>
    <w:p w14:paraId="3B42711C" w14:textId="77777777" w:rsidR="00057EA2" w:rsidRDefault="00000000">
      <w:pPr>
        <w:spacing w:after="0" w:line="550" w:lineRule="exact"/>
        <w:ind w:firstLineChars="0" w:firstLine="0"/>
        <w:jc w:val="center"/>
        <w:outlineLvl w:val="0"/>
        <w:rPr>
          <w:rFonts w:ascii="Times New Roman" w:eastAsia="黑体" w:hAnsi="Times New Roman" w:cs="黑体"/>
          <w:color w:val="000000" w:themeColor="text1"/>
          <w:kern w:val="0"/>
          <w:sz w:val="32"/>
          <w:szCs w:val="32"/>
        </w:rPr>
      </w:pPr>
      <w:bookmarkStart w:id="4" w:name="_Toc1377997872"/>
      <w:r>
        <w:rPr>
          <w:rFonts w:ascii="Times New Roman" w:eastAsia="黑体" w:hAnsi="Times New Roman" w:cs="黑体" w:hint="eastAsia"/>
          <w:color w:val="000000" w:themeColor="text1"/>
          <w:kern w:val="0"/>
          <w:sz w:val="32"/>
          <w:szCs w:val="32"/>
        </w:rPr>
        <w:t>第一章</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总则</w:t>
      </w:r>
      <w:bookmarkEnd w:id="1"/>
      <w:bookmarkEnd w:id="2"/>
      <w:bookmarkEnd w:id="3"/>
      <w:bookmarkEnd w:id="4"/>
    </w:p>
    <w:p w14:paraId="7EFA02FB"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5" w:name="_Toc171287617"/>
      <w:bookmarkStart w:id="6" w:name="_Toc1940053041"/>
      <w:bookmarkStart w:id="7" w:name="_Toc1978202596"/>
      <w:bookmarkStart w:id="8" w:name="_Toc1839426081"/>
      <w:r>
        <w:rPr>
          <w:rFonts w:ascii="Times New Roman" w:eastAsia="黑体" w:hAnsi="Times New Roman" w:cs="黑体" w:hint="eastAsia"/>
          <w:color w:val="000000" w:themeColor="text1"/>
          <w:kern w:val="0"/>
          <w:sz w:val="32"/>
          <w:szCs w:val="32"/>
        </w:rPr>
        <w:t>第一条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目的和依据</w:t>
      </w:r>
      <w:bookmarkEnd w:id="5"/>
      <w:bookmarkEnd w:id="6"/>
      <w:bookmarkEnd w:id="7"/>
      <w:bookmarkEnd w:id="8"/>
    </w:p>
    <w:p w14:paraId="58514E2B" w14:textId="77777777" w:rsidR="00057EA2" w:rsidRDefault="00000000">
      <w:pPr>
        <w:spacing w:after="0" w:line="550" w:lineRule="exact"/>
        <w:ind w:firstLine="627"/>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为支持和引导平台经营者有效防范反垄断合规风险，健全反垄断合规管理制度，保护相关主体合法权益，维护市场公平竞争秩序，促进平台经济健康发展，根据《中华人民共和国反垄断法》（以下简称《反垄断法》）等法律规定，制定本指引。</w:t>
      </w:r>
    </w:p>
    <w:p w14:paraId="4230B28B"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9" w:name="_Toc1181805934"/>
      <w:bookmarkStart w:id="10" w:name="_Toc1246022423"/>
      <w:bookmarkStart w:id="11" w:name="_Toc992936516"/>
      <w:bookmarkStart w:id="12" w:name="_Toc4729016"/>
      <w:r>
        <w:rPr>
          <w:rFonts w:ascii="Times New Roman" w:eastAsia="黑体" w:hAnsi="Times New Roman" w:cs="黑体" w:hint="eastAsia"/>
          <w:color w:val="000000" w:themeColor="text1"/>
          <w:kern w:val="0"/>
          <w:sz w:val="32"/>
          <w:szCs w:val="32"/>
        </w:rPr>
        <w:t>第二条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相关概念</w:t>
      </w:r>
      <w:bookmarkEnd w:id="9"/>
      <w:bookmarkEnd w:id="10"/>
      <w:bookmarkEnd w:id="11"/>
      <w:bookmarkEnd w:id="12"/>
    </w:p>
    <w:p w14:paraId="613E600D" w14:textId="77777777" w:rsidR="00057EA2" w:rsidRDefault="00000000">
      <w:pPr>
        <w:pStyle w:val="afc"/>
        <w:spacing w:after="0" w:line="550" w:lineRule="exact"/>
        <w:ind w:firstLine="627"/>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本指引所称互联网平台，是指通过网络信息技术，使相互依赖的双边或者多边主体在特定载体提供的规则下交互，以此共同创造价值的商业组织形态。</w:t>
      </w:r>
    </w:p>
    <w:p w14:paraId="30F7BF98" w14:textId="77777777" w:rsidR="00057EA2" w:rsidRDefault="00000000">
      <w:pPr>
        <w:spacing w:after="0" w:line="550" w:lineRule="exact"/>
        <w:ind w:firstLine="627"/>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本指引所称平台经营者，是指向自然人、法人以及其他市场主体提供经营场所、交易撮合、信息交流等互联网平台服务的经营者。</w:t>
      </w:r>
    </w:p>
    <w:p w14:paraId="2B7E0123" w14:textId="77777777" w:rsidR="00057EA2" w:rsidRDefault="00000000">
      <w:pPr>
        <w:spacing w:after="0" w:line="550" w:lineRule="exact"/>
        <w:ind w:firstLine="627"/>
        <w:jc w:val="left"/>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本指引所称平台内经营者，是指在互联网平台内提供商品或者服务（以下统称商品）的经营者。</w:t>
      </w:r>
    </w:p>
    <w:p w14:paraId="1BFE6A2B" w14:textId="77777777" w:rsidR="00057EA2" w:rsidRDefault="00000000">
      <w:pPr>
        <w:spacing w:after="0" w:line="550" w:lineRule="exact"/>
        <w:ind w:firstLine="627"/>
        <w:jc w:val="left"/>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本指引所称反垄断合规风险，是指平台经营者及其员工因违反《反垄断法》相关规定，引发法律责任、造成经济或者声誉损失以及其他负面后果的可能性。</w:t>
      </w:r>
    </w:p>
    <w:p w14:paraId="0A3BADEB" w14:textId="77777777" w:rsidR="00057EA2" w:rsidRDefault="00000000">
      <w:pPr>
        <w:spacing w:after="0" w:line="550" w:lineRule="exact"/>
        <w:ind w:firstLine="627"/>
        <w:jc w:val="left"/>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本指引所称反垄断合规管理，是指以防控反垄断合规风险为目的，针对平台经营者的经营管理行为和员工履职行为开展的有组织、有计划、全流程的管理活动。</w:t>
      </w:r>
    </w:p>
    <w:p w14:paraId="2E8BCFFD"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13" w:name="_Toc1626007619"/>
      <w:bookmarkStart w:id="14" w:name="_Toc1923576730"/>
      <w:bookmarkStart w:id="15" w:name="_Toc498783146"/>
      <w:bookmarkStart w:id="16" w:name="_Toc1632136811"/>
      <w:r>
        <w:rPr>
          <w:rFonts w:ascii="Times New Roman" w:eastAsia="黑体" w:hAnsi="Times New Roman" w:cs="黑体" w:hint="eastAsia"/>
          <w:color w:val="000000" w:themeColor="text1"/>
          <w:kern w:val="0"/>
          <w:sz w:val="32"/>
          <w:szCs w:val="32"/>
        </w:rPr>
        <w:lastRenderedPageBreak/>
        <w:t>第三条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合规管理必要性</w:t>
      </w:r>
      <w:bookmarkEnd w:id="13"/>
    </w:p>
    <w:p w14:paraId="44B6D88E" w14:textId="77777777" w:rsidR="00057EA2" w:rsidRDefault="00000000">
      <w:pPr>
        <w:spacing w:after="0" w:line="550" w:lineRule="exact"/>
        <w:ind w:firstLine="627"/>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互联网平台网络效应明显，涉及平台经营者、平台内经营者、消费者和从业人员等多方主体。平台经营者通常具有一定的管理者属性，通过数据和算法、技术、资本优势、平台规则等影响平台竞争生态，要切实加强反垄断合规管理。</w:t>
      </w:r>
    </w:p>
    <w:p w14:paraId="359E898B" w14:textId="77777777" w:rsidR="00057EA2" w:rsidRDefault="00000000">
      <w:pPr>
        <w:spacing w:after="0" w:line="550" w:lineRule="exact"/>
        <w:ind w:firstLine="627"/>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平台经营者违反《反垄断法》，将承担相应的法律责任，产生相关商业风险和信用风险。平台经营者加强反垄断合规管理，可以避免因从事垄断行为产生的风险，培育良好品牌形象和核心竞争优势。</w:t>
      </w:r>
    </w:p>
    <w:p w14:paraId="1E0F57B0" w14:textId="77777777" w:rsidR="00057EA2" w:rsidRDefault="00000000">
      <w:pPr>
        <w:spacing w:after="0" w:line="550" w:lineRule="exact"/>
        <w:ind w:firstLine="627"/>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平台经营者增强反垄断合规意识，健全反垄断合规管理制度，有利于提高竞争层次和水平，优化资源配置，提升运行效率，维护多方主体合法权益，推动平台竞争生态持续优化，实现平台经济创新发展。</w:t>
      </w:r>
    </w:p>
    <w:p w14:paraId="4DA3CBA2"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17" w:name="_Toc1458115052"/>
      <w:r>
        <w:rPr>
          <w:rFonts w:ascii="Times New Roman" w:eastAsia="黑体" w:hAnsi="Times New Roman" w:cs="黑体" w:hint="eastAsia"/>
          <w:color w:val="000000" w:themeColor="text1"/>
          <w:kern w:val="0"/>
          <w:sz w:val="32"/>
          <w:szCs w:val="32"/>
        </w:rPr>
        <w:t>第四条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基本原则</w:t>
      </w:r>
      <w:bookmarkEnd w:id="14"/>
      <w:bookmarkEnd w:id="15"/>
      <w:bookmarkEnd w:id="16"/>
      <w:bookmarkEnd w:id="17"/>
    </w:p>
    <w:p w14:paraId="1FC7F7BF" w14:textId="77777777" w:rsidR="00057EA2" w:rsidRDefault="00000000">
      <w:pPr>
        <w:spacing w:after="0" w:line="550" w:lineRule="exact"/>
        <w:ind w:firstLine="627"/>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平台经营者遵循以下基本原则，参考本指引开展反垄断合规管理工作，实现规则公平、算法向善、竞争合规：</w:t>
      </w:r>
    </w:p>
    <w:p w14:paraId="55781175" w14:textId="77777777" w:rsidR="00057EA2" w:rsidRDefault="00000000">
      <w:pPr>
        <w:spacing w:after="0" w:line="550" w:lineRule="exact"/>
        <w:ind w:firstLine="627"/>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（一）针对性原则。结合</w:t>
      </w:r>
      <w:r>
        <w:rPr>
          <w:rFonts w:ascii="Times New Roman" w:eastAsia="仿宋_GB2312" w:hAnsi="Times New Roman" w:cs="宋体" w:hint="eastAsia"/>
          <w:color w:val="000000" w:themeColor="text1"/>
          <w:kern w:val="0"/>
          <w:sz w:val="32"/>
          <w:szCs w:val="32"/>
        </w:rPr>
        <w:t>所处行业、商业模式和治理结构等因素，有针对性地识别、评估和防控合规风险，</w:t>
      </w:r>
      <w:r>
        <w:rPr>
          <w:rFonts w:ascii="Times New Roman" w:eastAsia="仿宋_GB2312" w:hAnsi="Times New Roman" w:hint="eastAsia"/>
          <w:color w:val="000000" w:themeColor="text1"/>
          <w:sz w:val="32"/>
          <w:szCs w:val="32"/>
        </w:rPr>
        <w:t>开展反垄断合规管理。</w:t>
      </w:r>
    </w:p>
    <w:p w14:paraId="7A42A2BF"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hint="eastAsia"/>
          <w:color w:val="000000" w:themeColor="text1"/>
          <w:sz w:val="32"/>
          <w:szCs w:val="32"/>
        </w:rPr>
        <w:t>（二）全面性原则。推进事前事中事后全链条合规，实现</w:t>
      </w:r>
      <w:r>
        <w:rPr>
          <w:rFonts w:ascii="Times New Roman" w:eastAsia="仿宋_GB2312" w:hAnsi="Times New Roman" w:cs="宋体" w:hint="eastAsia"/>
          <w:color w:val="000000" w:themeColor="text1"/>
          <w:kern w:val="0"/>
          <w:sz w:val="32"/>
          <w:szCs w:val="32"/>
        </w:rPr>
        <w:t>业务领域、部门、员工全覆盖，</w:t>
      </w:r>
      <w:r>
        <w:rPr>
          <w:rFonts w:ascii="Times New Roman" w:eastAsia="仿宋_GB2312" w:hAnsi="Times New Roman" w:cs="宋体"/>
          <w:color w:val="000000" w:themeColor="text1"/>
          <w:kern w:val="0"/>
          <w:sz w:val="32"/>
          <w:szCs w:val="32"/>
        </w:rPr>
        <w:t>贯穿决策、执行、监督各环节</w:t>
      </w:r>
      <w:r>
        <w:rPr>
          <w:rFonts w:ascii="Times New Roman" w:eastAsia="仿宋_GB2312" w:hAnsi="Times New Roman" w:cs="宋体" w:hint="eastAsia"/>
          <w:color w:val="000000" w:themeColor="text1"/>
          <w:kern w:val="0"/>
          <w:sz w:val="32"/>
          <w:szCs w:val="32"/>
        </w:rPr>
        <w:t>，</w:t>
      </w:r>
      <w:r>
        <w:rPr>
          <w:rFonts w:ascii="Times New Roman" w:eastAsia="仿宋_GB2312" w:hAnsi="Times New Roman" w:hint="eastAsia"/>
          <w:color w:val="000000" w:themeColor="text1"/>
          <w:sz w:val="32"/>
          <w:szCs w:val="32"/>
        </w:rPr>
        <w:t>构建协同联动的全面合规体系。</w:t>
      </w:r>
    </w:p>
    <w:p w14:paraId="696A7325" w14:textId="77777777" w:rsidR="00057EA2" w:rsidRDefault="00000000">
      <w:pPr>
        <w:spacing w:after="0" w:line="550" w:lineRule="exact"/>
        <w:ind w:firstLine="627"/>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（三）穿透性原则。贯通平台经营者总部和分公司、控股子公司等，完善总部指导、协调、监督和考核机制，压实各分支机构等自身合规管理职责，实现层级穿透、业务穿透、规则算法穿透。</w:t>
      </w:r>
    </w:p>
    <w:p w14:paraId="33D032BA" w14:textId="77777777" w:rsidR="00057EA2" w:rsidRDefault="00000000">
      <w:pPr>
        <w:spacing w:after="0" w:line="550" w:lineRule="exact"/>
        <w:ind w:firstLine="627"/>
        <w:rPr>
          <w:rFonts w:ascii="Times New Roman" w:eastAsia="仿宋_GB2312" w:hAnsi="Times New Roman"/>
          <w:color w:val="000000" w:themeColor="text1"/>
          <w:sz w:val="32"/>
          <w:szCs w:val="32"/>
        </w:rPr>
      </w:pPr>
      <w:bookmarkStart w:id="18" w:name="_Toc1432709306"/>
      <w:bookmarkStart w:id="19" w:name="_Toc1968040013"/>
      <w:bookmarkStart w:id="20" w:name="_Toc1828181602"/>
      <w:r>
        <w:rPr>
          <w:rFonts w:ascii="Times New Roman" w:eastAsia="仿宋_GB2312" w:hAnsi="Times New Roman" w:hint="eastAsia"/>
          <w:color w:val="000000" w:themeColor="text1"/>
          <w:sz w:val="32"/>
          <w:szCs w:val="32"/>
        </w:rPr>
        <w:lastRenderedPageBreak/>
        <w:t>（四）持续性原则。健全反垄断合规长效机制，保障合规管理制度持续有效执行，防止“一次性”“阶段性”合规，定期评估自身合规经营情况，及时更新完善反垄断合规管理制度。</w:t>
      </w:r>
    </w:p>
    <w:p w14:paraId="5536CCB5"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r>
        <w:rPr>
          <w:rFonts w:ascii="Times New Roman" w:eastAsia="黑体" w:hAnsi="Times New Roman" w:cs="黑体" w:hint="eastAsia"/>
          <w:color w:val="000000" w:themeColor="text1"/>
          <w:kern w:val="0"/>
          <w:sz w:val="32"/>
          <w:szCs w:val="32"/>
        </w:rPr>
        <w:t>第五条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合规总体要求</w:t>
      </w:r>
    </w:p>
    <w:p w14:paraId="32580C01" w14:textId="77777777" w:rsidR="00057EA2" w:rsidRDefault="00000000">
      <w:pPr>
        <w:spacing w:after="0" w:line="550" w:lineRule="exact"/>
        <w:ind w:firstLine="627"/>
        <w:rPr>
          <w:rFonts w:ascii="Times New Roman" w:eastAsia="仿宋_GB2312" w:hAnsi="Times New Roman"/>
          <w:color w:val="000000" w:themeColor="text1"/>
          <w:sz w:val="32"/>
          <w:szCs w:val="32"/>
        </w:rPr>
      </w:pPr>
      <w:r>
        <w:rPr>
          <w:rFonts w:ascii="Times New Roman" w:eastAsia="仿宋_GB2312" w:hAnsi="Times New Roman" w:hint="eastAsia"/>
          <w:color w:val="000000" w:themeColor="text1"/>
          <w:sz w:val="32"/>
          <w:szCs w:val="32"/>
        </w:rPr>
        <w:t>平台经营者要切实承担反垄断合规主体责任，健全反垄断合规制度，加强反垄断合规管理，依法竞争、合规经营，不得利用数据和算法、技术、资本优势、平台规则等从事《反垄断法》禁止的垄断行为。</w:t>
      </w:r>
    </w:p>
    <w:p w14:paraId="76D14A71" w14:textId="77777777" w:rsidR="00057EA2" w:rsidRDefault="00057EA2">
      <w:pPr>
        <w:spacing w:after="0" w:line="550" w:lineRule="exact"/>
        <w:ind w:firstLineChars="0" w:firstLine="0"/>
        <w:jc w:val="center"/>
        <w:outlineLvl w:val="0"/>
        <w:rPr>
          <w:rFonts w:ascii="Times New Roman" w:eastAsia="黑体" w:hAnsi="Times New Roman" w:cs="黑体"/>
          <w:color w:val="000000" w:themeColor="text1"/>
          <w:kern w:val="0"/>
          <w:sz w:val="32"/>
          <w:szCs w:val="32"/>
        </w:rPr>
      </w:pPr>
      <w:bookmarkStart w:id="21" w:name="_Toc1135947181"/>
      <w:bookmarkStart w:id="22" w:name="_Toc986018201"/>
      <w:bookmarkStart w:id="23" w:name="_Toc732446348"/>
      <w:bookmarkStart w:id="24" w:name="_Toc1921510162"/>
      <w:bookmarkEnd w:id="18"/>
      <w:bookmarkEnd w:id="19"/>
      <w:bookmarkEnd w:id="20"/>
    </w:p>
    <w:p w14:paraId="5621C736" w14:textId="77777777" w:rsidR="00057EA2" w:rsidRDefault="00000000">
      <w:pPr>
        <w:spacing w:after="0" w:line="550" w:lineRule="exact"/>
        <w:ind w:firstLineChars="0" w:firstLine="0"/>
        <w:jc w:val="center"/>
        <w:outlineLvl w:val="0"/>
        <w:rPr>
          <w:rFonts w:ascii="Times New Roman" w:eastAsia="黑体" w:hAnsi="Times New Roman" w:cs="黑体"/>
          <w:color w:val="000000" w:themeColor="text1"/>
          <w:kern w:val="0"/>
          <w:sz w:val="32"/>
          <w:szCs w:val="32"/>
        </w:rPr>
      </w:pPr>
      <w:r>
        <w:rPr>
          <w:rFonts w:ascii="Times New Roman" w:eastAsia="黑体" w:hAnsi="Times New Roman" w:cs="黑体" w:hint="eastAsia"/>
          <w:color w:val="000000" w:themeColor="text1"/>
          <w:kern w:val="0"/>
          <w:sz w:val="32"/>
          <w:szCs w:val="32"/>
        </w:rPr>
        <w:t>第二章</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风险</w:t>
      </w:r>
      <w:bookmarkEnd w:id="21"/>
      <w:bookmarkEnd w:id="22"/>
      <w:bookmarkEnd w:id="23"/>
      <w:r>
        <w:rPr>
          <w:rFonts w:ascii="Times New Roman" w:eastAsia="黑体" w:hAnsi="Times New Roman" w:cs="黑体" w:hint="eastAsia"/>
          <w:color w:val="000000" w:themeColor="text1"/>
          <w:kern w:val="0"/>
          <w:sz w:val="32"/>
          <w:szCs w:val="32"/>
        </w:rPr>
        <w:t>识别</w:t>
      </w:r>
      <w:bookmarkEnd w:id="24"/>
    </w:p>
    <w:p w14:paraId="68E44DB0" w14:textId="77777777" w:rsidR="00057EA2" w:rsidRDefault="00000000">
      <w:pPr>
        <w:spacing w:after="0" w:line="550" w:lineRule="exact"/>
        <w:ind w:firstLineChars="0" w:firstLine="0"/>
        <w:jc w:val="center"/>
        <w:outlineLvl w:val="0"/>
        <w:rPr>
          <w:rFonts w:ascii="Times New Roman" w:eastAsia="黑体" w:hAnsi="Times New Roman" w:cs="黑体"/>
          <w:color w:val="000000" w:themeColor="text1"/>
          <w:kern w:val="0"/>
          <w:sz w:val="32"/>
          <w:szCs w:val="32"/>
        </w:rPr>
      </w:pPr>
      <w:bookmarkStart w:id="25" w:name="_Toc35502616"/>
      <w:r>
        <w:rPr>
          <w:rFonts w:ascii="Times New Roman" w:eastAsia="黑体" w:hAnsi="Times New Roman" w:cs="黑体" w:hint="eastAsia"/>
          <w:color w:val="000000" w:themeColor="text1"/>
          <w:kern w:val="0"/>
          <w:sz w:val="32"/>
          <w:szCs w:val="32"/>
        </w:rPr>
        <w:t>第一节　垄断协议</w:t>
      </w:r>
      <w:bookmarkEnd w:id="25"/>
    </w:p>
    <w:p w14:paraId="1985486F"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bookmarkStart w:id="26" w:name="_Toc646491076"/>
      <w:bookmarkStart w:id="27" w:name="_Toc348831185"/>
      <w:r>
        <w:rPr>
          <w:rFonts w:ascii="Times New Roman" w:eastAsia="仿宋_GB2312" w:hAnsi="Times New Roman" w:cs="宋体" w:hint="eastAsia"/>
          <w:color w:val="000000" w:themeColor="text1"/>
          <w:kern w:val="0"/>
          <w:sz w:val="32"/>
          <w:szCs w:val="32"/>
        </w:rPr>
        <w:t>垄断协议，是指排除、限制竞争的协议、决定或者其他协同行为。《反垄断法》禁止经营者达成垄断协议。平台经营者要避免在提供平台服务或者开展自营业务等过程中达成垄断协议，以及组织其他经营者达成垄断协议或者提供实质性帮助。</w:t>
      </w:r>
    </w:p>
    <w:p w14:paraId="29388897"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平台经营者识别垄断协议风险，通常首先分析相关行为是否属于《反垄断法》第十七条、第十八条第一款和第十九条规定的情形，再分析上述行为是否符合《反垄断法》规定的不予禁止或者豁免条件。</w:t>
      </w:r>
    </w:p>
    <w:p w14:paraId="78DCE085"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28" w:name="_Toc2099356284"/>
      <w:bookmarkStart w:id="29" w:name="_Toc298562054"/>
      <w:r>
        <w:rPr>
          <w:rFonts w:ascii="Times New Roman" w:eastAsia="黑体" w:hAnsi="Times New Roman" w:cs="黑体" w:hint="eastAsia"/>
          <w:color w:val="000000" w:themeColor="text1"/>
          <w:kern w:val="0"/>
          <w:sz w:val="32"/>
          <w:szCs w:val="32"/>
        </w:rPr>
        <w:t>第六条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横向垄断协议</w:t>
      </w:r>
      <w:bookmarkEnd w:id="28"/>
      <w:bookmarkEnd w:id="29"/>
    </w:p>
    <w:p w14:paraId="4C9E3C16"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具有竞争关系的平台经营者，要避免通过以下方式达成固定或者变更价格、限制产（销）量、分割市场、限制新技术（产品）、联合抵制交易等横向垄断协议：</w:t>
      </w:r>
    </w:p>
    <w:p w14:paraId="6D73F5E0"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（一）利用会议、电话、短信、电子邮件、共享文档、即时通</w:t>
      </w:r>
      <w:r>
        <w:rPr>
          <w:rFonts w:ascii="Times New Roman" w:eastAsia="仿宋_GB2312" w:hAnsi="Times New Roman" w:cs="宋体" w:hint="eastAsia"/>
          <w:color w:val="000000" w:themeColor="text1"/>
          <w:kern w:val="0"/>
          <w:sz w:val="32"/>
          <w:szCs w:val="32"/>
        </w:rPr>
        <w:lastRenderedPageBreak/>
        <w:t>讯工具、共享数据池、互操作协议、云存储平台、人工智能等进行意思联络和信息交流；</w:t>
      </w:r>
    </w:p>
    <w:p w14:paraId="14AC8312"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（二）收集、交换定价模式、佣金比例、优惠政策</w:t>
      </w:r>
      <w:r>
        <w:rPr>
          <w:rFonts w:ascii="Times New Roman" w:eastAsia="仿宋_GB2312" w:hAnsi="Times New Roman" w:cs="宋体"/>
          <w:color w:val="000000" w:themeColor="text1"/>
          <w:kern w:val="0"/>
          <w:sz w:val="32"/>
          <w:szCs w:val="32"/>
        </w:rPr>
        <w:t>、客户名单</w:t>
      </w:r>
      <w:r>
        <w:rPr>
          <w:rFonts w:ascii="Times New Roman" w:eastAsia="仿宋_GB2312" w:hAnsi="Times New Roman" w:cs="宋体" w:hint="eastAsia"/>
          <w:color w:val="000000" w:themeColor="text1"/>
          <w:kern w:val="0"/>
          <w:sz w:val="32"/>
          <w:szCs w:val="32"/>
        </w:rPr>
        <w:t>、流量分配机制以及研发、投资、生产、营销、推广策略</w:t>
      </w:r>
      <w:r>
        <w:rPr>
          <w:rFonts w:ascii="Times New Roman" w:eastAsia="仿宋_GB2312" w:hAnsi="Times New Roman" w:cs="宋体"/>
          <w:color w:val="000000" w:themeColor="text1"/>
          <w:kern w:val="0"/>
          <w:sz w:val="32"/>
          <w:szCs w:val="32"/>
        </w:rPr>
        <w:t>等</w:t>
      </w:r>
      <w:r>
        <w:rPr>
          <w:rFonts w:ascii="Times New Roman" w:eastAsia="仿宋_GB2312" w:hAnsi="Times New Roman" w:cs="宋体" w:hint="eastAsia"/>
          <w:color w:val="000000" w:themeColor="text1"/>
          <w:kern w:val="0"/>
          <w:sz w:val="32"/>
          <w:szCs w:val="32"/>
        </w:rPr>
        <w:t>竞争性敏感信息；</w:t>
      </w:r>
    </w:p>
    <w:p w14:paraId="392D0435"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（三）利用数据、算法、技术、平台规则等实现用户分类、动态定价、流量分配、商品排序等方面的协调一致行为。</w:t>
      </w:r>
    </w:p>
    <w:tbl>
      <w:tblPr>
        <w:tblStyle w:val="af5"/>
        <w:tblW w:w="0" w:type="auto"/>
        <w:tblLook w:val="04A0" w:firstRow="1" w:lastRow="0" w:firstColumn="1" w:lastColumn="0" w:noHBand="0" w:noVBand="1"/>
      </w:tblPr>
      <w:tblGrid>
        <w:gridCol w:w="8948"/>
      </w:tblGrid>
      <w:tr w:rsidR="00057EA2" w14:paraId="10A36026" w14:textId="77777777">
        <w:tc>
          <w:tcPr>
            <w:tcW w:w="9168" w:type="dxa"/>
          </w:tcPr>
          <w:p w14:paraId="0F0747B7" w14:textId="77777777" w:rsidR="00057EA2" w:rsidRDefault="00000000">
            <w:pPr>
              <w:spacing w:after="0" w:line="550" w:lineRule="exact"/>
              <w:ind w:firstLine="627"/>
              <w:rPr>
                <w:rFonts w:ascii="Times New Roman" w:eastAsia="方正楷体_GBK" w:hAnsi="Times New Roman" w:cs="方正楷体_GBK"/>
                <w:color w:val="000000" w:themeColor="text1"/>
                <w:kern w:val="0"/>
                <w:sz w:val="32"/>
                <w:szCs w:val="32"/>
              </w:rPr>
            </w:pPr>
            <w:bookmarkStart w:id="30" w:name="_Toc1562055840"/>
            <w:bookmarkStart w:id="31" w:name="_Toc1347986048"/>
            <w:r>
              <w:rPr>
                <w:rFonts w:ascii="Times New Roman" w:eastAsia="方正楷体_GBK" w:hAnsi="Times New Roman" w:cs="方正楷体_GBK" w:hint="eastAsia"/>
                <w:b/>
                <w:bCs/>
                <w:color w:val="000000" w:themeColor="text1"/>
                <w:kern w:val="0"/>
                <w:sz w:val="32"/>
                <w:szCs w:val="32"/>
              </w:rPr>
              <w:t>风险示例：平台间算法共谋</w:t>
            </w:r>
            <w:bookmarkEnd w:id="30"/>
          </w:p>
          <w:p w14:paraId="2556DE85" w14:textId="77777777" w:rsidR="00057EA2" w:rsidRDefault="00000000">
            <w:pPr>
              <w:spacing w:after="0" w:line="550" w:lineRule="exact"/>
              <w:ind w:firstLine="627"/>
              <w:rPr>
                <w:rFonts w:ascii="Times New Roman" w:eastAsia="方正楷体_GBK" w:hAnsi="Times New Roman" w:cs="方正楷体_GBK"/>
                <w:color w:val="000000" w:themeColor="text1"/>
                <w:kern w:val="0"/>
                <w:sz w:val="32"/>
                <w:szCs w:val="32"/>
              </w:rPr>
            </w:pPr>
            <w:r>
              <w:rPr>
                <w:rFonts w:ascii="Times New Roman" w:eastAsia="方正楷体_GBK" w:hAnsi="Times New Roman" w:cs="方正楷体_GBK"/>
                <w:color w:val="000000" w:themeColor="text1"/>
                <w:kern w:val="0"/>
                <w:sz w:val="32"/>
                <w:szCs w:val="32"/>
              </w:rPr>
              <w:t>具有竞争关系的平台经营者利用算法</w:t>
            </w:r>
            <w:r>
              <w:rPr>
                <w:rFonts w:ascii="Times New Roman" w:eastAsia="方正楷体_GBK" w:hAnsi="Times New Roman" w:cs="方正楷体_GBK" w:hint="eastAsia"/>
                <w:color w:val="000000" w:themeColor="text1"/>
                <w:kern w:val="0"/>
                <w:sz w:val="32"/>
                <w:szCs w:val="32"/>
              </w:rPr>
              <w:t>，通过意思联络、</w:t>
            </w:r>
            <w:r>
              <w:rPr>
                <w:rFonts w:ascii="Times New Roman" w:eastAsia="方正楷体_GBK" w:hAnsi="Times New Roman" w:cs="方正楷体_GBK"/>
                <w:color w:val="000000" w:themeColor="text1"/>
                <w:kern w:val="0"/>
                <w:sz w:val="32"/>
                <w:szCs w:val="32"/>
              </w:rPr>
              <w:t>交换敏感信息、</w:t>
            </w:r>
            <w:r>
              <w:rPr>
                <w:rFonts w:ascii="Times New Roman" w:eastAsia="方正楷体_GBK" w:hAnsi="Times New Roman" w:cs="方正楷体_GBK" w:hint="eastAsia"/>
                <w:color w:val="000000" w:themeColor="text1"/>
                <w:kern w:val="0"/>
                <w:sz w:val="32"/>
                <w:szCs w:val="32"/>
              </w:rPr>
              <w:t>行为</w:t>
            </w:r>
            <w:r>
              <w:rPr>
                <w:rFonts w:ascii="Times New Roman" w:eastAsia="方正楷体_GBK" w:hAnsi="Times New Roman" w:cs="方正楷体_GBK"/>
                <w:color w:val="000000" w:themeColor="text1"/>
                <w:kern w:val="0"/>
                <w:sz w:val="32"/>
                <w:szCs w:val="32"/>
              </w:rPr>
              <w:t>协调一致</w:t>
            </w:r>
            <w:r>
              <w:rPr>
                <w:rFonts w:ascii="Times New Roman" w:eastAsia="方正楷体_GBK" w:hAnsi="Times New Roman" w:cs="方正楷体_GBK" w:hint="eastAsia"/>
                <w:color w:val="000000" w:themeColor="text1"/>
                <w:kern w:val="0"/>
                <w:sz w:val="32"/>
                <w:szCs w:val="32"/>
              </w:rPr>
              <w:t>等方式</w:t>
            </w:r>
            <w:r>
              <w:rPr>
                <w:rFonts w:ascii="Times New Roman" w:eastAsia="方正楷体_GBK" w:hAnsi="Times New Roman" w:cs="方正楷体_GBK"/>
                <w:color w:val="000000" w:themeColor="text1"/>
                <w:kern w:val="0"/>
                <w:sz w:val="32"/>
                <w:szCs w:val="32"/>
              </w:rPr>
              <w:t>，</w:t>
            </w:r>
            <w:r>
              <w:rPr>
                <w:rFonts w:ascii="Times New Roman" w:eastAsia="方正楷体_GBK" w:hAnsi="Times New Roman" w:cs="方正楷体_GBK" w:hint="eastAsia"/>
                <w:color w:val="000000" w:themeColor="text1"/>
                <w:kern w:val="0"/>
                <w:sz w:val="32"/>
                <w:szCs w:val="32"/>
              </w:rPr>
              <w:t>达成垄断协议</w:t>
            </w:r>
            <w:r>
              <w:rPr>
                <w:rFonts w:ascii="Times New Roman" w:eastAsia="方正楷体_GBK" w:hAnsi="Times New Roman" w:cs="方正楷体_GBK"/>
                <w:color w:val="000000" w:themeColor="text1"/>
                <w:kern w:val="0"/>
                <w:sz w:val="32"/>
                <w:szCs w:val="32"/>
              </w:rPr>
              <w:t>。比如：平台经营者</w:t>
            </w:r>
            <w:r>
              <w:rPr>
                <w:rFonts w:ascii="Times New Roman" w:eastAsia="方正楷体_GBK" w:hAnsi="Times New Roman" w:cs="方正楷体_GBK" w:hint="eastAsia"/>
                <w:color w:val="000000" w:themeColor="text1"/>
                <w:kern w:val="0"/>
                <w:sz w:val="32"/>
                <w:szCs w:val="32"/>
              </w:rPr>
              <w:t>甲、乙之间具有竞争关系，甲和乙通过算法进行共谋，统一定价机制、抽佣比例等</w:t>
            </w:r>
            <w:r>
              <w:rPr>
                <w:rFonts w:ascii="Times New Roman" w:eastAsia="方正楷体_GBK" w:hAnsi="Times New Roman" w:cs="方正楷体_GBK"/>
                <w:color w:val="000000" w:themeColor="text1"/>
                <w:kern w:val="0"/>
                <w:sz w:val="32"/>
                <w:szCs w:val="32"/>
              </w:rPr>
              <w:t>，</w:t>
            </w:r>
            <w:r>
              <w:rPr>
                <w:rFonts w:ascii="Times New Roman" w:eastAsia="方正楷体_GBK" w:hAnsi="Times New Roman" w:cs="方正楷体_GBK" w:hint="eastAsia"/>
                <w:color w:val="000000" w:themeColor="text1"/>
                <w:kern w:val="0"/>
                <w:sz w:val="32"/>
                <w:szCs w:val="32"/>
              </w:rPr>
              <w:t>达成横向垄断协议，排除、限制市场竞争</w:t>
            </w:r>
            <w:r>
              <w:rPr>
                <w:rFonts w:ascii="Times New Roman" w:eastAsia="方正楷体_GBK" w:hAnsi="Times New Roman" w:cs="方正楷体_GBK"/>
                <w:color w:val="000000" w:themeColor="text1"/>
                <w:kern w:val="0"/>
                <w:sz w:val="32"/>
                <w:szCs w:val="32"/>
              </w:rPr>
              <w:t>。</w:t>
            </w:r>
          </w:p>
        </w:tc>
      </w:tr>
    </w:tbl>
    <w:p w14:paraId="66AC3E63"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32" w:name="_Toc284558012"/>
      <w:r>
        <w:rPr>
          <w:rFonts w:ascii="Times New Roman" w:eastAsia="黑体" w:hAnsi="Times New Roman" w:cs="黑体" w:hint="eastAsia"/>
          <w:color w:val="000000" w:themeColor="text1"/>
          <w:kern w:val="0"/>
          <w:sz w:val="32"/>
          <w:szCs w:val="32"/>
        </w:rPr>
        <w:t>第七条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纵向垄断协议</w:t>
      </w:r>
      <w:bookmarkEnd w:id="31"/>
      <w:bookmarkEnd w:id="32"/>
    </w:p>
    <w:p w14:paraId="78E238B9"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平台经营者要避免通过以下方式与交易相对人达成固定转售价格、限定最低转售价格等纵向垄断协议：</w:t>
      </w:r>
    </w:p>
    <w:p w14:paraId="19A70C77"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（一）利用大数据分析、人工智能等技术手段对转售价格进行自动化设定；</w:t>
      </w:r>
    </w:p>
    <w:p w14:paraId="3896036D"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（二）利用接口调用、数据使用、流量分配、促销活动、店铺管理、用户权益保护等方面的平台规则对转售价格进行统一；</w:t>
      </w:r>
    </w:p>
    <w:p w14:paraId="6E0E5066" w14:textId="77777777" w:rsidR="00057EA2" w:rsidRDefault="00000000">
      <w:pPr>
        <w:spacing w:after="0" w:line="550" w:lineRule="exact"/>
        <w:ind w:firstLine="627"/>
        <w:rPr>
          <w:rFonts w:ascii="Times New Roman" w:eastAsia="黑体" w:hAnsi="Times New Roman" w:cs="黑体"/>
          <w:color w:val="000000" w:themeColor="text1"/>
          <w:kern w:val="0"/>
          <w:sz w:val="32"/>
          <w:szCs w:val="32"/>
        </w:rPr>
      </w:pPr>
      <w:r>
        <w:rPr>
          <w:rFonts w:ascii="Times New Roman" w:eastAsia="仿宋_GB2312" w:hAnsi="Times New Roman" w:cs="宋体" w:hint="eastAsia"/>
          <w:color w:val="000000" w:themeColor="text1"/>
          <w:kern w:val="0"/>
          <w:sz w:val="32"/>
          <w:szCs w:val="32"/>
        </w:rPr>
        <w:t>（三）利用用户画像、预测算法等对转售价格进行直接或者间接限定。</w:t>
      </w:r>
      <w:bookmarkStart w:id="33" w:name="_Toc981986231"/>
      <w:bookmarkStart w:id="34" w:name="_Toc1916056658"/>
      <w:bookmarkStart w:id="35" w:name="_Toc1857681392"/>
      <w:bookmarkStart w:id="36" w:name="_Toc1764997671"/>
      <w:bookmarkEnd w:id="26"/>
      <w:bookmarkEnd w:id="27"/>
    </w:p>
    <w:p w14:paraId="362F5729"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r>
        <w:rPr>
          <w:rFonts w:ascii="Times New Roman" w:eastAsia="黑体" w:hAnsi="Times New Roman" w:cs="黑体" w:hint="eastAsia"/>
          <w:color w:val="000000" w:themeColor="text1"/>
          <w:kern w:val="0"/>
          <w:sz w:val="32"/>
          <w:szCs w:val="32"/>
        </w:rPr>
        <w:t>第八条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组织与实质性帮助</w:t>
      </w:r>
      <w:bookmarkEnd w:id="33"/>
      <w:bookmarkEnd w:id="34"/>
      <w:bookmarkEnd w:id="35"/>
      <w:bookmarkEnd w:id="36"/>
    </w:p>
    <w:p w14:paraId="512F8E58"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lastRenderedPageBreak/>
        <w:t>平台经营者要避免通过以下方式组织</w:t>
      </w:r>
      <w:r>
        <w:rPr>
          <w:rFonts w:ascii="Times New Roman" w:eastAsia="仿宋_GB2312" w:hAnsi="Times New Roman" w:cs="宋体"/>
          <w:color w:val="000000" w:themeColor="text1"/>
          <w:kern w:val="0"/>
          <w:sz w:val="32"/>
          <w:szCs w:val="32"/>
        </w:rPr>
        <w:t>平台内经营者</w:t>
      </w:r>
      <w:r>
        <w:rPr>
          <w:rFonts w:ascii="Times New Roman" w:eastAsia="仿宋_GB2312" w:hAnsi="Times New Roman" w:cs="宋体" w:hint="eastAsia"/>
          <w:color w:val="000000" w:themeColor="text1"/>
          <w:kern w:val="0"/>
          <w:sz w:val="32"/>
          <w:szCs w:val="32"/>
        </w:rPr>
        <w:t>等其他经营者达成垄断协议或者为达成垄断协议提供实质性帮助：</w:t>
      </w:r>
    </w:p>
    <w:p w14:paraId="2874A6A1"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（一）通过共享数据、发布通知、签署协议等组织、协调平台内经营者等其他经营者进行意思联络；</w:t>
      </w:r>
    </w:p>
    <w:p w14:paraId="1E292E1B"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（二）为平台内经营者等其他经营者获取竞争性敏感信息、实现协调一致行为提供必要支持、创造关键性便利条件等。</w:t>
      </w:r>
    </w:p>
    <w:tbl>
      <w:tblPr>
        <w:tblStyle w:val="af5"/>
        <w:tblW w:w="0" w:type="auto"/>
        <w:tblLook w:val="04A0" w:firstRow="1" w:lastRow="0" w:firstColumn="1" w:lastColumn="0" w:noHBand="0" w:noVBand="1"/>
      </w:tblPr>
      <w:tblGrid>
        <w:gridCol w:w="8948"/>
      </w:tblGrid>
      <w:tr w:rsidR="00057EA2" w14:paraId="38639E46" w14:textId="77777777">
        <w:tc>
          <w:tcPr>
            <w:tcW w:w="9168" w:type="dxa"/>
          </w:tcPr>
          <w:p w14:paraId="2CDA7D74" w14:textId="77777777" w:rsidR="00057EA2" w:rsidRDefault="00000000">
            <w:pPr>
              <w:spacing w:after="0" w:line="550" w:lineRule="exact"/>
              <w:ind w:firstLine="627"/>
              <w:rPr>
                <w:rFonts w:ascii="Times New Roman" w:eastAsia="方正楷体_GBK" w:hAnsi="Times New Roman" w:cs="方正楷体_GBK"/>
                <w:b/>
                <w:bCs/>
                <w:color w:val="000000" w:themeColor="text1"/>
                <w:kern w:val="0"/>
                <w:sz w:val="32"/>
                <w:szCs w:val="32"/>
              </w:rPr>
            </w:pPr>
            <w:bookmarkStart w:id="37" w:name="_Toc382538364"/>
            <w:bookmarkStart w:id="38" w:name="_Toc130985550"/>
            <w:bookmarkStart w:id="39" w:name="_Toc1395878056"/>
            <w:bookmarkStart w:id="40" w:name="_Toc1520096792"/>
            <w:r>
              <w:rPr>
                <w:rFonts w:ascii="Times New Roman" w:eastAsia="方正楷体_GBK" w:hAnsi="Times New Roman" w:cs="方正楷体_GBK" w:hint="eastAsia"/>
                <w:b/>
                <w:bCs/>
                <w:color w:val="000000" w:themeColor="text1"/>
                <w:kern w:val="0"/>
                <w:sz w:val="32"/>
                <w:szCs w:val="32"/>
              </w:rPr>
              <w:t>风险示例：</w:t>
            </w:r>
            <w:bookmarkEnd w:id="37"/>
            <w:r>
              <w:rPr>
                <w:rFonts w:ascii="Times New Roman" w:eastAsia="方正楷体_GBK" w:hAnsi="Times New Roman" w:cs="方正楷体_GBK" w:hint="eastAsia"/>
                <w:b/>
                <w:bCs/>
                <w:color w:val="000000" w:themeColor="text1"/>
                <w:kern w:val="0"/>
                <w:sz w:val="32"/>
                <w:szCs w:val="32"/>
              </w:rPr>
              <w:t>组织帮助平台内经营者达成垄断协议</w:t>
            </w:r>
          </w:p>
          <w:p w14:paraId="550B9518" w14:textId="77777777" w:rsidR="00057EA2" w:rsidRDefault="00000000">
            <w:pPr>
              <w:spacing w:after="0" w:line="550" w:lineRule="exact"/>
              <w:ind w:firstLine="627"/>
              <w:rPr>
                <w:rFonts w:ascii="Times New Roman" w:eastAsia="方正楷体_GBK" w:hAnsi="Times New Roman" w:cs="方正楷体_GBK"/>
                <w:color w:val="000000" w:themeColor="text1"/>
                <w:kern w:val="0"/>
                <w:sz w:val="32"/>
                <w:szCs w:val="32"/>
              </w:rPr>
            </w:pPr>
            <w:r>
              <w:rPr>
                <w:rFonts w:ascii="Times New Roman" w:eastAsia="方正楷体_GBK" w:hAnsi="Times New Roman" w:cs="方正楷体_GBK" w:hint="eastAsia"/>
                <w:color w:val="000000" w:themeColor="text1"/>
                <w:kern w:val="0"/>
                <w:sz w:val="32"/>
                <w:szCs w:val="32"/>
              </w:rPr>
              <w:t>平台经营者组织、协调具有竞争关系的平台内经营者达成横向协议，或者通过提供必要支持、创造关键性条件进行实质性帮助。比如：平台经营者甲与具有竞争关系的平台内经营者分别签署内容相同或者相似的调价协议，在此过程中，促成平台内经营者进行了意思联络，交换了竞争性敏感信息，最终形成一致的定价行为，排除、限制市场竞争。</w:t>
            </w:r>
          </w:p>
        </w:tc>
      </w:tr>
    </w:tbl>
    <w:p w14:paraId="60BBB420" w14:textId="77777777" w:rsidR="00057EA2" w:rsidRDefault="00000000">
      <w:pPr>
        <w:spacing w:after="0" w:line="550" w:lineRule="exact"/>
        <w:ind w:firstLineChars="0" w:firstLine="0"/>
        <w:jc w:val="center"/>
        <w:outlineLvl w:val="0"/>
        <w:rPr>
          <w:rFonts w:ascii="Times New Roman" w:eastAsia="黑体" w:hAnsi="Times New Roman" w:cs="黑体"/>
          <w:color w:val="000000" w:themeColor="text1"/>
          <w:kern w:val="0"/>
          <w:sz w:val="32"/>
          <w:szCs w:val="32"/>
        </w:rPr>
      </w:pPr>
      <w:bookmarkStart w:id="41" w:name="_Toc1596146504"/>
      <w:r>
        <w:rPr>
          <w:rFonts w:ascii="Times New Roman" w:eastAsia="黑体" w:hAnsi="Times New Roman" w:cs="黑体" w:hint="eastAsia"/>
          <w:color w:val="000000" w:themeColor="text1"/>
          <w:kern w:val="0"/>
          <w:sz w:val="32"/>
          <w:szCs w:val="32"/>
        </w:rPr>
        <w:t>第二节　滥用市场支配地位行为</w:t>
      </w:r>
      <w:bookmarkEnd w:id="41"/>
    </w:p>
    <w:p w14:paraId="1BFA2185"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滥用市场支配地位行为，是指具有市场支配地位的经营者从事的以不公平高价销售、以不公平低价购买或者没有正当理由低于成本销售、拒绝交易、限定交易、搭售、附加其他不合理条件、差别待遇等行为。《反垄断法》禁止具有市场支配地位的经营者从事滥用市场支配地位行为。市场力量较大的平台经营者要定期评估是否在相关市场具有市场支配地位，避免在提供平台服务或者开展自营业务等过程中从事滥用市场支配地位行为。</w:t>
      </w:r>
    </w:p>
    <w:p w14:paraId="65E4A263"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平台经营者识别滥用市场支配地位行为风险，通常首先界定相关市场，评估在相关市场是否具有市场支配地位、是否实施相关行</w:t>
      </w:r>
      <w:r>
        <w:rPr>
          <w:rFonts w:ascii="Times New Roman" w:eastAsia="仿宋_GB2312" w:hAnsi="Times New Roman" w:cs="宋体" w:hint="eastAsia"/>
          <w:color w:val="000000" w:themeColor="text1"/>
          <w:kern w:val="0"/>
          <w:sz w:val="32"/>
          <w:szCs w:val="32"/>
        </w:rPr>
        <w:lastRenderedPageBreak/>
        <w:t>为，再结合是否具有正当理由以及相关行为是否排除、限制市场竞争，具体分析是否构成滥用市场支配地位行为。</w:t>
      </w:r>
    </w:p>
    <w:p w14:paraId="0F369D37"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42" w:name="_Toc613026939"/>
      <w:r>
        <w:rPr>
          <w:rFonts w:ascii="Times New Roman" w:eastAsia="黑体" w:hAnsi="Times New Roman" w:cs="黑体" w:hint="eastAsia"/>
          <w:color w:val="000000" w:themeColor="text1"/>
          <w:kern w:val="0"/>
          <w:sz w:val="32"/>
          <w:szCs w:val="32"/>
        </w:rPr>
        <w:t>第九条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市场支配地位的考虑因素</w:t>
      </w:r>
      <w:bookmarkEnd w:id="38"/>
      <w:bookmarkEnd w:id="42"/>
    </w:p>
    <w:p w14:paraId="3D39F403"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平台经营者评估在相关市场是否具有市场支配地位，可以考虑以下因素：</w:t>
      </w:r>
    </w:p>
    <w:p w14:paraId="7352F74C" w14:textId="77777777" w:rsidR="00057EA2" w:rsidRDefault="00000000">
      <w:pPr>
        <w:spacing w:after="0" w:line="550" w:lineRule="exact"/>
        <w:ind w:firstLine="627"/>
        <w:jc w:val="left"/>
        <w:rPr>
          <w:rFonts w:ascii="Times New Roman" w:eastAsia="仿宋_GB2312" w:hAnsi="Times New Roman" w:cs="宋体"/>
          <w:color w:val="000000" w:themeColor="text1"/>
          <w:kern w:val="0"/>
          <w:sz w:val="32"/>
          <w:szCs w:val="32"/>
        </w:rPr>
      </w:pPr>
      <w:bookmarkStart w:id="43" w:name="_Toc6641535"/>
      <w:r>
        <w:rPr>
          <w:rFonts w:ascii="Times New Roman" w:eastAsia="仿宋_GB2312" w:hAnsi="Times New Roman" w:cs="宋体" w:hint="eastAsia"/>
          <w:color w:val="000000" w:themeColor="text1"/>
          <w:kern w:val="0"/>
          <w:sz w:val="32"/>
          <w:szCs w:val="32"/>
        </w:rPr>
        <w:t>（一）平台经营者的市场份额以及相关市场竞争状况。确定平台经营者市场份额，可以考虑交易金额、交易数量、销售额、注册用户数、活跃用户数、点击量、使用时长、平台内经营者数量或者其他指标在相关市场所占比重，同时考虑该市场份额持续的时间。分析相关市场竞争状况，可以考虑相关市场的发展状况、竞争性平台经营者数量以及市场份额、平台竞争特点、平台差异程度、规模经济、潜在竞争性平台经营者情况、创新和技术变化等。</w:t>
      </w:r>
    </w:p>
    <w:p w14:paraId="50E60124"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二）平台经营者控制市场的能力。可以结合线上和线下业务多样性、纵向一体化等因素考虑平台经营者控制上下游市场或者其他关联市场的能力，阻碍、影响其他平台经营者进入相关市场的能力，相关经营模式、网络效应，以及影响或者决定价格、流量或者其他交易条件的能力等。</w:t>
      </w:r>
    </w:p>
    <w:p w14:paraId="22C69686"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三）平台经营者的财力和技术条件。可以考虑投资者情况、资产规模、资本来源、盈利能力、融资能力、技术创新和应用能力、拥有的知识产权、掌握和处理相关数据的能力，以及该财力和技术条件能够以何种程度促进业务扩张或者巩固、维持市场地位等。</w:t>
      </w:r>
    </w:p>
    <w:p w14:paraId="3789615B"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（四）平台内经营者等其他经营者对该平台经营者在交易上的依赖程度。可以考虑其他经营者与该平台经营者的交易关系、交易</w:t>
      </w:r>
      <w:r>
        <w:rPr>
          <w:rFonts w:ascii="Times New Roman" w:eastAsia="仿宋_GB2312" w:hAnsi="Times New Roman" w:cs="宋体" w:hint="eastAsia"/>
          <w:color w:val="000000" w:themeColor="text1"/>
          <w:kern w:val="0"/>
          <w:sz w:val="32"/>
          <w:szCs w:val="32"/>
        </w:rPr>
        <w:lastRenderedPageBreak/>
        <w:t>量、交易持续时间，锁定效应、用户黏性，以及其他经营者转向其他平台的可能性以及转换成本等。</w:t>
      </w:r>
    </w:p>
    <w:p w14:paraId="2C68AF42"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（五）其他平台经营者进入相关市场的难易程度。可以考虑市场准入、平台规模效应、资金投入规模、技术壁垒、用户多栖性、用户转换成本、数据获取的难易程度、用户习惯等。</w:t>
      </w:r>
    </w:p>
    <w:p w14:paraId="47185097"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（六）基于平台经济特点认定平台经营者具有市场支配地位的其他因素。</w:t>
      </w:r>
    </w:p>
    <w:p w14:paraId="0AD893FD"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44" w:name="_Toc38837177"/>
      <w:r>
        <w:rPr>
          <w:rFonts w:ascii="Times New Roman" w:eastAsia="黑体" w:hAnsi="Times New Roman" w:cs="黑体" w:hint="eastAsia"/>
          <w:color w:val="000000" w:themeColor="text1"/>
          <w:kern w:val="0"/>
          <w:sz w:val="32"/>
          <w:szCs w:val="32"/>
        </w:rPr>
        <w:t>第十条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不公平</w:t>
      </w:r>
      <w:bookmarkEnd w:id="43"/>
      <w:bookmarkEnd w:id="44"/>
      <w:r>
        <w:rPr>
          <w:rFonts w:ascii="Times New Roman" w:eastAsia="黑体" w:hAnsi="Times New Roman" w:cs="黑体" w:hint="eastAsia"/>
          <w:color w:val="000000" w:themeColor="text1"/>
          <w:kern w:val="0"/>
          <w:sz w:val="32"/>
          <w:szCs w:val="32"/>
        </w:rPr>
        <w:t>高价或者不公平低价</w:t>
      </w:r>
    </w:p>
    <w:p w14:paraId="31B2104D"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具有市场支配地位的平台经营者，要避免通过以下方式滥用市场支配地位，以不公平的高价销售商品或者以不公平的低价购买商品：</w:t>
      </w:r>
    </w:p>
    <w:p w14:paraId="17282714"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一）向平台内经营者收取明显高于其他同类业务平台经营者在相同或者相似市场条件下的佣金、注册费、手续费、会员费、技术服务费、信息服务费、营销推广费等费用，或者在成本基本稳定的情况下，超过正常幅度提高向平台内经营者收取的上述费用；</w:t>
      </w:r>
    </w:p>
    <w:p w14:paraId="7A6FDA37"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（二）通过拆分服务项目、增加收费名目等，变相向平台内经营者收取不公平的高额价格；</w:t>
      </w:r>
    </w:p>
    <w:p w14:paraId="301379C6"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（三）向平台内经营者支付明显低于其他同类业务平台经营者在相同或者相似市场条件下的商品价格。</w:t>
      </w:r>
    </w:p>
    <w:tbl>
      <w:tblPr>
        <w:tblStyle w:val="af5"/>
        <w:tblW w:w="0" w:type="auto"/>
        <w:tblLook w:val="04A0" w:firstRow="1" w:lastRow="0" w:firstColumn="1" w:lastColumn="0" w:noHBand="0" w:noVBand="1"/>
      </w:tblPr>
      <w:tblGrid>
        <w:gridCol w:w="8948"/>
      </w:tblGrid>
      <w:tr w:rsidR="00057EA2" w14:paraId="355EA884" w14:textId="77777777">
        <w:tc>
          <w:tcPr>
            <w:tcW w:w="9168" w:type="dxa"/>
          </w:tcPr>
          <w:p w14:paraId="76337C44" w14:textId="77777777" w:rsidR="00057EA2" w:rsidRDefault="00000000">
            <w:pPr>
              <w:spacing w:after="0" w:line="550" w:lineRule="exact"/>
              <w:ind w:firstLine="627"/>
              <w:rPr>
                <w:rFonts w:ascii="Times New Roman" w:eastAsia="方正楷体_GBK" w:hAnsi="Times New Roman" w:cs="方正楷体_GBK"/>
                <w:b/>
                <w:bCs/>
                <w:color w:val="000000" w:themeColor="text1"/>
                <w:kern w:val="0"/>
                <w:sz w:val="32"/>
                <w:szCs w:val="32"/>
              </w:rPr>
            </w:pPr>
            <w:bookmarkStart w:id="45" w:name="_Toc1323333370"/>
            <w:r>
              <w:rPr>
                <w:rFonts w:ascii="Times New Roman" w:eastAsia="方正楷体_GBK" w:hAnsi="Times New Roman" w:cs="方正楷体_GBK" w:hint="eastAsia"/>
                <w:b/>
                <w:bCs/>
                <w:color w:val="000000" w:themeColor="text1"/>
                <w:kern w:val="0"/>
                <w:sz w:val="32"/>
                <w:szCs w:val="32"/>
              </w:rPr>
              <w:t>风险示例：平台不公平高价</w:t>
            </w:r>
          </w:p>
          <w:p w14:paraId="303326A7" w14:textId="77777777" w:rsidR="00057EA2" w:rsidRDefault="00000000">
            <w:pPr>
              <w:spacing w:after="0" w:line="550" w:lineRule="exact"/>
              <w:ind w:firstLine="627"/>
              <w:rPr>
                <w:rFonts w:ascii="Times New Roman" w:eastAsia="方正楷体_GBK" w:hAnsi="Times New Roman" w:cs="方正楷体_GBK"/>
                <w:color w:val="000000" w:themeColor="text1"/>
                <w:kern w:val="0"/>
                <w:sz w:val="32"/>
                <w:szCs w:val="32"/>
              </w:rPr>
            </w:pPr>
            <w:r>
              <w:rPr>
                <w:rFonts w:ascii="Times New Roman" w:eastAsia="方正楷体_GBK" w:hAnsi="Times New Roman" w:cs="方正楷体_GBK" w:hint="eastAsia"/>
                <w:color w:val="000000" w:themeColor="text1"/>
                <w:kern w:val="0"/>
                <w:sz w:val="32"/>
                <w:szCs w:val="32"/>
              </w:rPr>
              <w:t>具有市场支配地位的平台经营者，借助平台规则、技术和算法等，滥用市场支配地位，向平台内经营者收取不公平的高额费用。比如：具有市场支配地位的平台经营者甲，在成本基本稳定</w:t>
            </w:r>
            <w:r>
              <w:rPr>
                <w:rFonts w:ascii="Times New Roman" w:eastAsia="方正楷体_GBK" w:hAnsi="Times New Roman" w:cs="方正楷体_GBK" w:hint="eastAsia"/>
                <w:color w:val="000000" w:themeColor="text1"/>
                <w:kern w:val="0"/>
                <w:sz w:val="32"/>
                <w:szCs w:val="32"/>
              </w:rPr>
              <w:lastRenderedPageBreak/>
              <w:t>的情况下，连续多年超过正常幅度提高服务费用，对平台内经营者收取不公平的高额费用，损害平台内经营者利益。</w:t>
            </w:r>
          </w:p>
        </w:tc>
      </w:tr>
    </w:tbl>
    <w:p w14:paraId="0B738D3F"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46" w:name="_Toc1547207015"/>
      <w:r>
        <w:rPr>
          <w:rFonts w:ascii="Times New Roman" w:eastAsia="黑体" w:hAnsi="Times New Roman" w:cs="黑体" w:hint="eastAsia"/>
          <w:color w:val="000000" w:themeColor="text1"/>
          <w:kern w:val="0"/>
          <w:sz w:val="32"/>
          <w:szCs w:val="32"/>
        </w:rPr>
        <w:lastRenderedPageBreak/>
        <w:t>第十一条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低于成本销售</w:t>
      </w:r>
      <w:bookmarkEnd w:id="45"/>
      <w:bookmarkEnd w:id="46"/>
    </w:p>
    <w:p w14:paraId="6AFE73B0"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具有市场支配地位的平台经营者，要避免滥用市场支配地位，没有正当理由，</w:t>
      </w:r>
      <w:bookmarkStart w:id="47" w:name="OLE_LINK2"/>
      <w:r>
        <w:rPr>
          <w:rFonts w:ascii="Times New Roman" w:eastAsia="仿宋_GB2312" w:hAnsi="Times New Roman" w:cs="宋体" w:hint="eastAsia"/>
          <w:color w:val="000000" w:themeColor="text1"/>
          <w:kern w:val="0"/>
          <w:sz w:val="32"/>
          <w:szCs w:val="32"/>
        </w:rPr>
        <w:t>通过过度补贴、交叉补贴等方式，</w:t>
      </w:r>
      <w:bookmarkEnd w:id="47"/>
      <w:r>
        <w:rPr>
          <w:rFonts w:ascii="Times New Roman" w:eastAsia="仿宋_GB2312" w:hAnsi="Times New Roman" w:cs="宋体" w:hint="eastAsia"/>
          <w:color w:val="000000" w:themeColor="text1"/>
          <w:kern w:val="0"/>
          <w:sz w:val="32"/>
          <w:szCs w:val="32"/>
        </w:rPr>
        <w:t>以低于成本的价格销售商品或者提供服务，排除、限制市场竞争。</w:t>
      </w:r>
    </w:p>
    <w:p w14:paraId="3EA923EB"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分析是否构成低于成本销售，一般重点考虑平台经营者是否以低于成本的价格排挤竞争性平台经营者，以及是否可能在将竞争性平台经营者排挤出市场后，获取非公平竞争水平下的不当利益、损害市场公平竞争和消费者合法权益等情况。</w:t>
      </w:r>
    </w:p>
    <w:p w14:paraId="79D3C74F"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在计算成本时，可以综合考虑平台涉及多边市场中各相关市场之间的成本关联情况及其合理性。</w:t>
      </w:r>
    </w:p>
    <w:tbl>
      <w:tblPr>
        <w:tblStyle w:val="af5"/>
        <w:tblW w:w="0" w:type="auto"/>
        <w:tblLook w:val="04A0" w:firstRow="1" w:lastRow="0" w:firstColumn="1" w:lastColumn="0" w:noHBand="0" w:noVBand="1"/>
      </w:tblPr>
      <w:tblGrid>
        <w:gridCol w:w="8948"/>
      </w:tblGrid>
      <w:tr w:rsidR="00057EA2" w14:paraId="10AE51F7" w14:textId="77777777">
        <w:tc>
          <w:tcPr>
            <w:tcW w:w="9168" w:type="dxa"/>
          </w:tcPr>
          <w:p w14:paraId="4C9212D7" w14:textId="77777777" w:rsidR="00057EA2" w:rsidRDefault="00000000">
            <w:pPr>
              <w:spacing w:after="0" w:line="550" w:lineRule="exact"/>
              <w:ind w:firstLine="627"/>
              <w:rPr>
                <w:rFonts w:ascii="Times New Roman" w:eastAsia="方正楷体_GBK" w:hAnsi="Times New Roman" w:cs="方正楷体_GBK"/>
                <w:color w:val="000000" w:themeColor="text1"/>
                <w:kern w:val="0"/>
                <w:sz w:val="32"/>
                <w:szCs w:val="32"/>
              </w:rPr>
            </w:pPr>
            <w:bookmarkStart w:id="48" w:name="_Toc954408598"/>
            <w:bookmarkStart w:id="49" w:name="_Toc817485780"/>
            <w:r>
              <w:rPr>
                <w:rFonts w:ascii="Times New Roman" w:eastAsia="方正楷体_GBK" w:hAnsi="Times New Roman" w:cs="方正楷体_GBK" w:hint="eastAsia"/>
                <w:b/>
                <w:bCs/>
                <w:color w:val="000000" w:themeColor="text1"/>
                <w:kern w:val="0"/>
                <w:sz w:val="32"/>
                <w:szCs w:val="32"/>
              </w:rPr>
              <w:t>风险示例：平台低于成本销售</w:t>
            </w:r>
          </w:p>
          <w:p w14:paraId="1AE9A6BD" w14:textId="77777777" w:rsidR="00057EA2" w:rsidRDefault="00000000">
            <w:pPr>
              <w:spacing w:after="0" w:line="550" w:lineRule="exact"/>
              <w:ind w:firstLine="627"/>
              <w:rPr>
                <w:rFonts w:ascii="Times New Roman" w:eastAsia="黑体" w:hAnsi="Times New Roman" w:cs="黑体"/>
                <w:color w:val="000000" w:themeColor="text1"/>
                <w:kern w:val="0"/>
                <w:sz w:val="32"/>
                <w:szCs w:val="32"/>
              </w:rPr>
            </w:pPr>
            <w:r>
              <w:rPr>
                <w:rFonts w:ascii="Times New Roman" w:eastAsia="方正楷体_GBK" w:hAnsi="Times New Roman" w:cs="方正楷体_GBK" w:hint="eastAsia"/>
                <w:color w:val="000000" w:themeColor="text1"/>
                <w:kern w:val="0"/>
                <w:sz w:val="32"/>
                <w:szCs w:val="32"/>
              </w:rPr>
              <w:t>具有市场支配地位的平台经营者，滥用市场支配地位，没有正当理由，通过过度补贴、超过合理限度的优惠政策等方式，以低于成本的价格提供服务，排除、限制市场竞争。比如：具有市场支配地位的平台经营者甲，明显超出合理期限，给予新的平台内经营者免费入驻、大额补贴优惠，待竞争性平台经营者退出相关市场后，大幅提高入驻费等相关费用，获取不当利益，损害了市场公平竞争和消费者合法权益。</w:t>
            </w:r>
          </w:p>
        </w:tc>
      </w:tr>
    </w:tbl>
    <w:p w14:paraId="0A8B3824"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r>
        <w:rPr>
          <w:rFonts w:ascii="Times New Roman" w:eastAsia="黑体" w:hAnsi="Times New Roman" w:cs="黑体" w:hint="eastAsia"/>
          <w:color w:val="000000" w:themeColor="text1"/>
          <w:kern w:val="0"/>
          <w:sz w:val="32"/>
          <w:szCs w:val="32"/>
        </w:rPr>
        <w:t>第十二条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拒绝交易</w:t>
      </w:r>
      <w:bookmarkEnd w:id="48"/>
      <w:bookmarkEnd w:id="49"/>
    </w:p>
    <w:p w14:paraId="19F57487"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具有市场支配地位的平台经营者，要避免通过以下方式滥用市场支配地位，没有正当理由，</w:t>
      </w:r>
      <w:bookmarkStart w:id="50" w:name="OLE_LINK1"/>
      <w:r>
        <w:rPr>
          <w:rFonts w:ascii="Times New Roman" w:eastAsia="仿宋_GB2312" w:hAnsi="Times New Roman" w:cs="宋体" w:hint="eastAsia"/>
          <w:color w:val="000000" w:themeColor="text1"/>
          <w:kern w:val="0"/>
          <w:sz w:val="32"/>
          <w:szCs w:val="32"/>
        </w:rPr>
        <w:t>拒绝与交易相对人进行交易</w:t>
      </w:r>
      <w:bookmarkEnd w:id="50"/>
      <w:r>
        <w:rPr>
          <w:rFonts w:ascii="Times New Roman" w:eastAsia="仿宋_GB2312" w:hAnsi="Times New Roman" w:cs="宋体" w:hint="eastAsia"/>
          <w:color w:val="000000" w:themeColor="text1"/>
          <w:kern w:val="0"/>
          <w:sz w:val="32"/>
          <w:szCs w:val="32"/>
        </w:rPr>
        <w:t>，排除、</w:t>
      </w:r>
      <w:r>
        <w:rPr>
          <w:rFonts w:ascii="Times New Roman" w:eastAsia="仿宋_GB2312" w:hAnsi="Times New Roman" w:cs="宋体" w:hint="eastAsia"/>
          <w:color w:val="000000" w:themeColor="text1"/>
          <w:kern w:val="0"/>
          <w:sz w:val="32"/>
          <w:szCs w:val="32"/>
        </w:rPr>
        <w:lastRenderedPageBreak/>
        <w:t>限制市场竞争：</w:t>
      </w:r>
    </w:p>
    <w:p w14:paraId="78842266"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（一）通过下架商品、封禁账号、设置复杂的交易流程、限制流量、</w:t>
      </w:r>
      <w:r>
        <w:rPr>
          <w:rFonts w:ascii="Times New Roman" w:eastAsia="仿宋_GB2312" w:hAnsi="Times New Roman" w:cs="宋体"/>
          <w:color w:val="000000" w:themeColor="text1"/>
          <w:kern w:val="0"/>
          <w:sz w:val="32"/>
          <w:szCs w:val="32"/>
        </w:rPr>
        <w:t>关闭</w:t>
      </w:r>
      <w:r>
        <w:rPr>
          <w:rFonts w:ascii="Times New Roman" w:eastAsia="仿宋_GB2312" w:hAnsi="Times New Roman" w:cs="宋体" w:hint="eastAsia"/>
          <w:color w:val="000000" w:themeColor="text1"/>
          <w:kern w:val="0"/>
          <w:sz w:val="32"/>
          <w:szCs w:val="32"/>
        </w:rPr>
        <w:t>接</w:t>
      </w:r>
      <w:r>
        <w:rPr>
          <w:rFonts w:ascii="Times New Roman" w:eastAsia="仿宋_GB2312" w:hAnsi="Times New Roman" w:cs="宋体"/>
          <w:color w:val="000000" w:themeColor="text1"/>
          <w:kern w:val="0"/>
          <w:sz w:val="32"/>
          <w:szCs w:val="32"/>
        </w:rPr>
        <w:t>口</w:t>
      </w:r>
      <w:r>
        <w:rPr>
          <w:rFonts w:ascii="Times New Roman" w:eastAsia="仿宋_GB2312" w:hAnsi="Times New Roman" w:cs="宋体" w:hint="eastAsia"/>
          <w:color w:val="000000" w:themeColor="text1"/>
          <w:kern w:val="0"/>
          <w:sz w:val="32"/>
          <w:szCs w:val="32"/>
        </w:rPr>
        <w:t>、中断数据共享</w:t>
      </w:r>
      <w:r>
        <w:rPr>
          <w:rFonts w:ascii="Times New Roman" w:eastAsia="仿宋_GB2312" w:hAnsi="Times New Roman" w:cs="宋体"/>
          <w:color w:val="000000" w:themeColor="text1"/>
          <w:kern w:val="0"/>
          <w:sz w:val="32"/>
          <w:szCs w:val="32"/>
        </w:rPr>
        <w:t>等</w:t>
      </w:r>
      <w:r>
        <w:rPr>
          <w:rFonts w:ascii="Times New Roman" w:eastAsia="仿宋_GB2312" w:hAnsi="Times New Roman" w:cs="宋体" w:hint="eastAsia"/>
          <w:color w:val="000000" w:themeColor="text1"/>
          <w:kern w:val="0"/>
          <w:sz w:val="32"/>
          <w:szCs w:val="32"/>
        </w:rPr>
        <w:t>，停止、拖延、中断与交易相对人的交易；</w:t>
      </w:r>
    </w:p>
    <w:p w14:paraId="0028AE93"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（二）通过设置不合理的选品条件、</w:t>
      </w:r>
      <w:r>
        <w:rPr>
          <w:rFonts w:ascii="Times New Roman" w:eastAsia="仿宋_GB2312" w:hAnsi="Times New Roman" w:cs="宋体"/>
          <w:color w:val="000000" w:themeColor="text1"/>
          <w:kern w:val="0"/>
          <w:sz w:val="32"/>
          <w:szCs w:val="32"/>
        </w:rPr>
        <w:t>显著</w:t>
      </w:r>
      <w:r>
        <w:rPr>
          <w:rFonts w:ascii="Times New Roman" w:eastAsia="仿宋_GB2312" w:hAnsi="Times New Roman" w:cs="宋体" w:hint="eastAsia"/>
          <w:color w:val="000000" w:themeColor="text1"/>
          <w:kern w:val="0"/>
          <w:sz w:val="32"/>
          <w:szCs w:val="32"/>
        </w:rPr>
        <w:t>高于</w:t>
      </w:r>
      <w:r>
        <w:rPr>
          <w:rFonts w:ascii="Times New Roman" w:eastAsia="仿宋_GB2312" w:hAnsi="Times New Roman" w:cs="宋体"/>
          <w:color w:val="000000" w:themeColor="text1"/>
          <w:kern w:val="0"/>
          <w:sz w:val="32"/>
          <w:szCs w:val="32"/>
        </w:rPr>
        <w:t>市场合理水平的</w:t>
      </w:r>
      <w:r>
        <w:rPr>
          <w:rFonts w:ascii="Times New Roman" w:eastAsia="仿宋_GB2312" w:hAnsi="Times New Roman" w:cs="宋体" w:hint="eastAsia"/>
          <w:color w:val="000000" w:themeColor="text1"/>
          <w:kern w:val="0"/>
          <w:sz w:val="32"/>
          <w:szCs w:val="32"/>
        </w:rPr>
        <w:t>服务费、停止提供应用程序更新、中断数据更新等，拒绝与交易相对人进行交易；</w:t>
      </w:r>
    </w:p>
    <w:p w14:paraId="33BDF945"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（三）利用流量分配算法、商品发布规则等，限制获取流量、接受订单，实质性削减与交易相对人的交易数量；</w:t>
      </w:r>
    </w:p>
    <w:p w14:paraId="1A10AAEE"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（四）制定不合理的营销、研发等平台规则，或者使用歧视性算法设置不合理的限制和障碍，使交易相对人难以开展交易；</w:t>
      </w:r>
    </w:p>
    <w:p w14:paraId="0C7A2CAE"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（五）通过控制构成必需设施的特定数据、模型、应用平台等，拒绝与交易相对人以合理条件进行交易。</w:t>
      </w:r>
    </w:p>
    <w:tbl>
      <w:tblPr>
        <w:tblStyle w:val="af5"/>
        <w:tblW w:w="0" w:type="auto"/>
        <w:tblLook w:val="04A0" w:firstRow="1" w:lastRow="0" w:firstColumn="1" w:lastColumn="0" w:noHBand="0" w:noVBand="1"/>
      </w:tblPr>
      <w:tblGrid>
        <w:gridCol w:w="8948"/>
      </w:tblGrid>
      <w:tr w:rsidR="00057EA2" w14:paraId="41009DC2" w14:textId="77777777">
        <w:tc>
          <w:tcPr>
            <w:tcW w:w="9168" w:type="dxa"/>
          </w:tcPr>
          <w:p w14:paraId="4610B5E0" w14:textId="77777777" w:rsidR="00057EA2" w:rsidRDefault="00000000">
            <w:pPr>
              <w:spacing w:after="0" w:line="550" w:lineRule="exact"/>
              <w:ind w:firstLine="627"/>
              <w:rPr>
                <w:rFonts w:ascii="Times New Roman" w:eastAsia="方正楷体_GBK" w:hAnsi="Times New Roman" w:cs="方正楷体_GBK"/>
                <w:b/>
                <w:bCs/>
                <w:color w:val="000000" w:themeColor="text1"/>
                <w:kern w:val="0"/>
                <w:sz w:val="32"/>
                <w:szCs w:val="32"/>
              </w:rPr>
            </w:pPr>
            <w:bookmarkStart w:id="51" w:name="_Toc318177513"/>
            <w:r>
              <w:rPr>
                <w:rFonts w:ascii="Times New Roman" w:eastAsia="方正楷体_GBK" w:hAnsi="Times New Roman" w:cs="方正楷体_GBK" w:hint="eastAsia"/>
                <w:b/>
                <w:bCs/>
                <w:color w:val="000000" w:themeColor="text1"/>
                <w:kern w:val="0"/>
                <w:sz w:val="32"/>
                <w:szCs w:val="32"/>
              </w:rPr>
              <w:t>风险示例：封禁屏蔽</w:t>
            </w:r>
            <w:bookmarkEnd w:id="51"/>
          </w:p>
          <w:p w14:paraId="0A1E21BA" w14:textId="77777777" w:rsidR="00057EA2" w:rsidRDefault="00000000">
            <w:pPr>
              <w:spacing w:after="0" w:line="550" w:lineRule="exact"/>
              <w:ind w:firstLine="627"/>
              <w:rPr>
                <w:rFonts w:ascii="Times New Roman" w:eastAsia="方正楷体_GBK" w:hAnsi="Times New Roman" w:cs="方正楷体_GBK"/>
                <w:color w:val="000000" w:themeColor="text1"/>
                <w:kern w:val="0"/>
                <w:sz w:val="32"/>
                <w:szCs w:val="32"/>
              </w:rPr>
            </w:pPr>
            <w:r>
              <w:rPr>
                <w:rFonts w:ascii="Times New Roman" w:eastAsia="方正楷体_GBK" w:hAnsi="Times New Roman" w:cs="方正楷体_GBK" w:hint="eastAsia"/>
                <w:color w:val="000000" w:themeColor="text1"/>
                <w:kern w:val="0"/>
                <w:sz w:val="32"/>
                <w:szCs w:val="32"/>
              </w:rPr>
              <w:t>具有市场支配地位的平台经营者，滥用市场支配地位，没有正当理由，对交易相对人在应用层、传输层、网络层等进行封禁屏蔽，导致其无法进入相关市场，排除、限制市场竞争。比如：具有市场支配地位的平台经营者甲，没有正当理由，通过限制链接跳转或者端口接入等方式，导致交易相对人无法开展特定业务、参与市场竞争。</w:t>
            </w:r>
          </w:p>
        </w:tc>
      </w:tr>
    </w:tbl>
    <w:p w14:paraId="4FB0F65D"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52" w:name="_Toc988977952"/>
      <w:bookmarkStart w:id="53" w:name="_Toc1507512813"/>
      <w:r>
        <w:rPr>
          <w:rFonts w:ascii="Times New Roman" w:eastAsia="黑体" w:hAnsi="Times New Roman" w:cs="黑体" w:hint="eastAsia"/>
          <w:color w:val="000000" w:themeColor="text1"/>
          <w:kern w:val="0"/>
          <w:sz w:val="32"/>
          <w:szCs w:val="32"/>
        </w:rPr>
        <w:t>第十三条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限定交易</w:t>
      </w:r>
      <w:bookmarkEnd w:id="52"/>
      <w:bookmarkEnd w:id="53"/>
    </w:p>
    <w:p w14:paraId="52E83449"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具有市场支配地位的平台经营者，要避免通过以下方式滥用市场支配地位，没有正当理由，限定交易相对人只能与其或其指定的</w:t>
      </w:r>
      <w:r>
        <w:rPr>
          <w:rFonts w:ascii="Times New Roman" w:eastAsia="仿宋_GB2312" w:hAnsi="Times New Roman" w:cs="宋体" w:hint="eastAsia"/>
          <w:color w:val="000000" w:themeColor="text1"/>
          <w:kern w:val="0"/>
          <w:sz w:val="32"/>
          <w:szCs w:val="32"/>
        </w:rPr>
        <w:lastRenderedPageBreak/>
        <w:t>经营者进行交易，或者不能与特定经营者进行交易，排除、限制市场竞争：</w:t>
      </w:r>
    </w:p>
    <w:p w14:paraId="312AC0F1"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（一）在商家入驻、平台服务、内容发布、应用开发等平台规则中设置独家合作条款，要求平台内经营者只能与本平台合作，或者只能将特定商品、内容在本平台发布；</w:t>
      </w:r>
    </w:p>
    <w:p w14:paraId="5038B105"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（二）通过活动规则、合作协议、站内通知等，要求平台内经营者不能与特定竞争性平台合作，或者不能参与特定竞争性平台的促销活动；</w:t>
      </w:r>
    </w:p>
    <w:p w14:paraId="29EBF3FF"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（三）通过屏蔽店铺、搜索降权、流量限制、技术障碍、扣取保证金、罚款、取消参加促销活动资格、拖延上线、差别费率等惩罚性措施实施限制；</w:t>
      </w:r>
    </w:p>
    <w:p w14:paraId="5BFC35AF"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（四）通过补贴、折扣、优惠、流量资源支持、赠送增值服务等激励性措施变相实施限制。</w:t>
      </w:r>
    </w:p>
    <w:tbl>
      <w:tblPr>
        <w:tblStyle w:val="af5"/>
        <w:tblW w:w="0" w:type="auto"/>
        <w:tblLook w:val="04A0" w:firstRow="1" w:lastRow="0" w:firstColumn="1" w:lastColumn="0" w:noHBand="0" w:noVBand="1"/>
      </w:tblPr>
      <w:tblGrid>
        <w:gridCol w:w="8948"/>
      </w:tblGrid>
      <w:tr w:rsidR="00057EA2" w14:paraId="488EF5AF" w14:textId="77777777">
        <w:tc>
          <w:tcPr>
            <w:tcW w:w="9168" w:type="dxa"/>
          </w:tcPr>
          <w:p w14:paraId="75A44F51" w14:textId="77777777" w:rsidR="00057EA2" w:rsidRDefault="00000000">
            <w:pPr>
              <w:spacing w:after="0" w:line="550" w:lineRule="exact"/>
              <w:ind w:firstLineChars="0" w:firstLine="629"/>
              <w:outlineLvl w:val="2"/>
              <w:rPr>
                <w:rFonts w:ascii="Times New Roman" w:eastAsia="黑体" w:hAnsi="Times New Roman" w:cs="黑体"/>
                <w:color w:val="000000" w:themeColor="text1"/>
                <w:kern w:val="0"/>
                <w:sz w:val="32"/>
                <w:szCs w:val="32"/>
              </w:rPr>
            </w:pPr>
            <w:bookmarkStart w:id="54" w:name="_Toc271925696"/>
            <w:r>
              <w:rPr>
                <w:rFonts w:ascii="Times New Roman" w:eastAsia="方正楷体_GBK" w:hAnsi="Times New Roman" w:cs="方正楷体_GBK" w:hint="eastAsia"/>
                <w:b/>
                <w:bCs/>
                <w:color w:val="000000" w:themeColor="text1"/>
                <w:kern w:val="0"/>
                <w:sz w:val="32"/>
                <w:szCs w:val="32"/>
              </w:rPr>
              <w:t>风险示例</w:t>
            </w:r>
            <w:r>
              <w:rPr>
                <w:rFonts w:ascii="Times New Roman" w:eastAsia="楷体_GB2312" w:hAnsi="Times New Roman" w:cs="楷体_GB2312" w:hint="eastAsia"/>
                <w:b/>
                <w:bCs/>
                <w:color w:val="000000" w:themeColor="text1"/>
                <w:kern w:val="0"/>
                <w:sz w:val="32"/>
                <w:szCs w:val="32"/>
              </w:rPr>
              <w:t>：“二选一”行为</w:t>
            </w:r>
            <w:bookmarkEnd w:id="54"/>
          </w:p>
          <w:p w14:paraId="3B83C0F9"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方正楷体_GBK" w:hAnsi="Times New Roman" w:cs="方正楷体_GBK" w:hint="eastAsia"/>
                <w:color w:val="000000" w:themeColor="text1"/>
                <w:kern w:val="0"/>
                <w:sz w:val="32"/>
                <w:szCs w:val="32"/>
              </w:rPr>
              <w:t>具有市场支配地位的平台经营者，滥用市场支配地位，没有正当理由，强迫交易相对人在该平台经营者和其他竞争性平台经营者间作出选择，并通过惩罚性措施或者激励性措施保障实施前述“二选一”行为，排除、限制市场竞争。比如：</w:t>
            </w:r>
            <w:r>
              <w:rPr>
                <w:rFonts w:ascii="Times New Roman" w:eastAsia="方正楷体_GBK" w:hAnsi="Times New Roman" w:cs="方正楷体_GBK"/>
                <w:color w:val="000000" w:themeColor="text1"/>
                <w:kern w:val="0"/>
                <w:sz w:val="32"/>
                <w:szCs w:val="32"/>
              </w:rPr>
              <w:t>具有市场支配地位</w:t>
            </w:r>
            <w:r>
              <w:rPr>
                <w:rFonts w:ascii="Times New Roman" w:eastAsia="方正楷体_GBK" w:hAnsi="Times New Roman" w:cs="方正楷体_GBK" w:hint="eastAsia"/>
                <w:color w:val="000000" w:themeColor="text1"/>
                <w:kern w:val="0"/>
                <w:sz w:val="32"/>
                <w:szCs w:val="32"/>
              </w:rPr>
              <w:t>的平台经营者甲，没有正当理由，</w:t>
            </w:r>
            <w:r>
              <w:rPr>
                <w:rFonts w:ascii="Times New Roman" w:eastAsia="方正楷体_GBK" w:hAnsi="Times New Roman" w:cs="方正楷体_GBK"/>
                <w:color w:val="000000" w:themeColor="text1"/>
                <w:kern w:val="0"/>
                <w:sz w:val="32"/>
                <w:szCs w:val="32"/>
              </w:rPr>
              <w:t>要求平台内</w:t>
            </w:r>
            <w:r>
              <w:rPr>
                <w:rFonts w:ascii="Times New Roman" w:eastAsia="方正楷体_GBK" w:hAnsi="Times New Roman" w:cs="方正楷体_GBK" w:hint="eastAsia"/>
                <w:color w:val="000000" w:themeColor="text1"/>
                <w:kern w:val="0"/>
                <w:sz w:val="32"/>
                <w:szCs w:val="32"/>
              </w:rPr>
              <w:t>经营者承诺</w:t>
            </w:r>
            <w:r>
              <w:rPr>
                <w:rFonts w:ascii="Times New Roman" w:eastAsia="方正楷体_GBK" w:hAnsi="Times New Roman" w:cs="方正楷体_GBK"/>
                <w:color w:val="000000" w:themeColor="text1"/>
                <w:kern w:val="0"/>
                <w:sz w:val="32"/>
                <w:szCs w:val="32"/>
              </w:rPr>
              <w:t>不</w:t>
            </w:r>
            <w:r>
              <w:rPr>
                <w:rFonts w:ascii="Times New Roman" w:eastAsia="方正楷体_GBK" w:hAnsi="Times New Roman" w:cs="方正楷体_GBK" w:hint="eastAsia"/>
                <w:color w:val="000000" w:themeColor="text1"/>
                <w:kern w:val="0"/>
                <w:sz w:val="32"/>
                <w:szCs w:val="32"/>
              </w:rPr>
              <w:t>与竞争性平台开展合作，并对不遵守承诺的平台内经营者</w:t>
            </w:r>
            <w:r>
              <w:rPr>
                <w:rFonts w:ascii="Times New Roman" w:eastAsia="方正楷体_GBK" w:hAnsi="Times New Roman" w:cs="方正楷体_GBK"/>
                <w:color w:val="000000" w:themeColor="text1"/>
                <w:kern w:val="0"/>
                <w:sz w:val="32"/>
                <w:szCs w:val="32"/>
              </w:rPr>
              <w:t>采</w:t>
            </w:r>
            <w:r>
              <w:rPr>
                <w:rFonts w:ascii="Times New Roman" w:eastAsia="方正楷体_GBK" w:hAnsi="Times New Roman" w:cs="方正楷体_GBK" w:hint="eastAsia"/>
                <w:color w:val="000000" w:themeColor="text1"/>
                <w:kern w:val="0"/>
                <w:sz w:val="32"/>
                <w:szCs w:val="32"/>
              </w:rPr>
              <w:t>取搜索降权、下架商品、限制流量、扣取保证金等方式予以惩戒，限制平台内经营者自由选择权，产生了排除、限制市场竞争的效果。</w:t>
            </w:r>
          </w:p>
        </w:tc>
      </w:tr>
    </w:tbl>
    <w:p w14:paraId="2F7423A0"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55" w:name="_Toc489663724"/>
      <w:bookmarkStart w:id="56" w:name="_Toc501220348"/>
      <w:r>
        <w:rPr>
          <w:rFonts w:ascii="Times New Roman" w:eastAsia="黑体" w:hAnsi="Times New Roman" w:cs="黑体" w:hint="eastAsia"/>
          <w:color w:val="000000" w:themeColor="text1"/>
          <w:kern w:val="0"/>
          <w:sz w:val="32"/>
          <w:szCs w:val="32"/>
        </w:rPr>
        <w:t>第十四条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搭售或者附加其他不合理条件</w:t>
      </w:r>
      <w:bookmarkEnd w:id="55"/>
      <w:bookmarkEnd w:id="56"/>
    </w:p>
    <w:p w14:paraId="15877DEE"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lastRenderedPageBreak/>
        <w:t>具有市场支配地位的平台经营者，要避免通过以下方式滥用市场支配地位，没有正当理由，搭售或者附加其他不合理交易条件，排除、限制市场竞争：</w:t>
      </w:r>
    </w:p>
    <w:p w14:paraId="09F6CDE9"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（一）利用难以选择、更改、拒绝的格式条款、弹窗、操作必经步骤等，要求平台内经营者、消费者在使用其服务时，必须搭配使用指定商品；</w:t>
      </w:r>
    </w:p>
    <w:p w14:paraId="5C460AD5"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（二）通过采取搜索降权、流量限制、技术障碍、关停服务、取消授权等惩罚性措施，强制平台内经营者、消费者等接受其他商品；</w:t>
      </w:r>
    </w:p>
    <w:p w14:paraId="061A6726"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（三）强制或者变相强制平台内经营者、消费者等参加推广、促销、优惠活动，或者承担应当由平台经营者承担的费用、风险等；</w:t>
      </w:r>
    </w:p>
    <w:p w14:paraId="3DF3C125"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（四）对交易条件和方式</w:t>
      </w:r>
      <w:r>
        <w:rPr>
          <w:rFonts w:ascii="Times New Roman" w:eastAsia="仿宋_GB2312" w:hAnsi="Times New Roman" w:cs="宋体"/>
          <w:color w:val="000000" w:themeColor="text1"/>
          <w:kern w:val="0"/>
          <w:sz w:val="32"/>
          <w:szCs w:val="32"/>
        </w:rPr>
        <w:t>、</w:t>
      </w:r>
      <w:r>
        <w:rPr>
          <w:rFonts w:ascii="Times New Roman" w:eastAsia="仿宋_GB2312" w:hAnsi="Times New Roman" w:cs="宋体" w:hint="eastAsia"/>
          <w:color w:val="000000" w:themeColor="text1"/>
          <w:kern w:val="0"/>
          <w:sz w:val="32"/>
          <w:szCs w:val="32"/>
        </w:rPr>
        <w:t>服务提供方式、付款方式和手段、</w:t>
      </w:r>
      <w:r>
        <w:rPr>
          <w:rFonts w:ascii="Times New Roman" w:eastAsia="仿宋_GB2312" w:hAnsi="Times New Roman" w:cs="宋体"/>
          <w:color w:val="000000" w:themeColor="text1"/>
          <w:kern w:val="0"/>
          <w:sz w:val="32"/>
          <w:szCs w:val="32"/>
        </w:rPr>
        <w:t>售后服务等附加不合理的限制</w:t>
      </w:r>
      <w:r>
        <w:rPr>
          <w:rFonts w:ascii="Times New Roman" w:eastAsia="仿宋_GB2312" w:hAnsi="Times New Roman" w:cs="宋体" w:hint="eastAsia"/>
          <w:color w:val="000000" w:themeColor="text1"/>
          <w:kern w:val="0"/>
          <w:sz w:val="32"/>
          <w:szCs w:val="32"/>
        </w:rPr>
        <w:t>；</w:t>
      </w:r>
    </w:p>
    <w:p w14:paraId="4B4585F4"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（五）在交易价格之外强制收取未经明确公示的技术服务费、流量推广费等不合理费用，或者通过重复收费等收取交易价格之外的不合理费用；</w:t>
      </w:r>
    </w:p>
    <w:p w14:paraId="4530AF7E"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（六）强制收集非必要的用户信息或者附加与交易标的无关的交易条件、交易流程、服务项目。</w:t>
      </w:r>
    </w:p>
    <w:tbl>
      <w:tblPr>
        <w:tblStyle w:val="af5"/>
        <w:tblW w:w="0" w:type="auto"/>
        <w:tblLook w:val="04A0" w:firstRow="1" w:lastRow="0" w:firstColumn="1" w:lastColumn="0" w:noHBand="0" w:noVBand="1"/>
      </w:tblPr>
      <w:tblGrid>
        <w:gridCol w:w="8948"/>
      </w:tblGrid>
      <w:tr w:rsidR="00057EA2" w14:paraId="48E82006" w14:textId="77777777">
        <w:tc>
          <w:tcPr>
            <w:tcW w:w="9168" w:type="dxa"/>
          </w:tcPr>
          <w:p w14:paraId="77C9440B" w14:textId="77777777" w:rsidR="00057EA2" w:rsidRDefault="00000000">
            <w:pPr>
              <w:spacing w:after="0" w:line="550" w:lineRule="exact"/>
              <w:ind w:firstLine="627"/>
              <w:outlineLvl w:val="2"/>
              <w:rPr>
                <w:rFonts w:ascii="Times New Roman" w:eastAsia="黑体" w:hAnsi="Times New Roman" w:cs="黑体"/>
                <w:color w:val="000000" w:themeColor="text1"/>
                <w:kern w:val="0"/>
                <w:sz w:val="32"/>
                <w:szCs w:val="32"/>
              </w:rPr>
            </w:pPr>
            <w:bookmarkStart w:id="57" w:name="_Toc1088345500"/>
            <w:r>
              <w:rPr>
                <w:rFonts w:ascii="Times New Roman" w:eastAsia="方正楷体_GBK" w:hAnsi="Times New Roman" w:cs="方正楷体_GBK" w:hint="eastAsia"/>
                <w:b/>
                <w:bCs/>
                <w:color w:val="000000" w:themeColor="text1"/>
                <w:kern w:val="0"/>
                <w:sz w:val="32"/>
                <w:szCs w:val="32"/>
              </w:rPr>
              <w:t>风险示例</w:t>
            </w:r>
            <w:r>
              <w:rPr>
                <w:rFonts w:ascii="Times New Roman" w:eastAsia="楷体_GB2312" w:hAnsi="Times New Roman" w:cs="楷体_GB2312" w:hint="eastAsia"/>
                <w:b/>
                <w:bCs/>
                <w:color w:val="000000" w:themeColor="text1"/>
                <w:kern w:val="0"/>
                <w:sz w:val="32"/>
                <w:szCs w:val="32"/>
              </w:rPr>
              <w:t>：“全网最低价</w:t>
            </w:r>
            <w:bookmarkEnd w:id="57"/>
            <w:r>
              <w:rPr>
                <w:rFonts w:ascii="Times New Roman" w:eastAsia="楷体_GB2312" w:hAnsi="Times New Roman" w:cs="楷体_GB2312" w:hint="eastAsia"/>
                <w:b/>
                <w:bCs/>
                <w:color w:val="000000" w:themeColor="text1"/>
                <w:kern w:val="0"/>
                <w:sz w:val="32"/>
                <w:szCs w:val="32"/>
              </w:rPr>
              <w:t>”</w:t>
            </w:r>
          </w:p>
          <w:p w14:paraId="7F4460F0" w14:textId="77777777" w:rsidR="00057EA2" w:rsidRDefault="00000000">
            <w:pPr>
              <w:spacing w:after="0" w:line="550" w:lineRule="exact"/>
              <w:ind w:firstLineChars="0" w:firstLine="627"/>
              <w:rPr>
                <w:rFonts w:ascii="Times New Roman" w:eastAsia="方正楷体_GBK" w:hAnsi="Times New Roman" w:cs="方正楷体_GBK"/>
                <w:color w:val="000000" w:themeColor="text1"/>
                <w:kern w:val="0"/>
                <w:sz w:val="32"/>
                <w:szCs w:val="32"/>
              </w:rPr>
            </w:pPr>
            <w:r>
              <w:rPr>
                <w:rFonts w:ascii="Times New Roman" w:eastAsia="方正楷体_GBK" w:hAnsi="Times New Roman" w:cs="方正楷体_GBK" w:hint="eastAsia"/>
                <w:color w:val="000000" w:themeColor="text1"/>
                <w:kern w:val="0"/>
                <w:sz w:val="32"/>
                <w:szCs w:val="32"/>
              </w:rPr>
              <w:t>具有市场支配地位的平台经营者，滥用市场支配地位，没有正当理由，要求平台内经营者向其提供全网最低价格，排除、限制市场竞争。比如：</w:t>
            </w:r>
            <w:r>
              <w:rPr>
                <w:rFonts w:ascii="Times New Roman" w:eastAsia="方正楷体_GBK" w:hAnsi="Times New Roman" w:cs="方正楷体_GBK"/>
                <w:color w:val="000000" w:themeColor="text1"/>
                <w:kern w:val="0"/>
                <w:sz w:val="32"/>
                <w:szCs w:val="32"/>
              </w:rPr>
              <w:t>具有市场支配地位</w:t>
            </w:r>
            <w:r>
              <w:rPr>
                <w:rFonts w:ascii="Times New Roman" w:eastAsia="方正楷体_GBK" w:hAnsi="Times New Roman" w:cs="方正楷体_GBK" w:hint="eastAsia"/>
                <w:color w:val="000000" w:themeColor="text1"/>
                <w:kern w:val="0"/>
                <w:sz w:val="32"/>
                <w:szCs w:val="32"/>
              </w:rPr>
              <w:t>的平台经营者甲，没有正当理由，要求平台内经营者在该平台销售的商品价格不得高于其</w:t>
            </w:r>
            <w:r>
              <w:rPr>
                <w:rFonts w:ascii="Times New Roman" w:eastAsia="方正楷体_GBK" w:hAnsi="Times New Roman" w:cs="方正楷体_GBK" w:hint="eastAsia"/>
                <w:color w:val="000000" w:themeColor="text1"/>
                <w:kern w:val="0"/>
                <w:sz w:val="32"/>
                <w:szCs w:val="32"/>
              </w:rPr>
              <w:lastRenderedPageBreak/>
              <w:t>他竞争性平台，若在其他平台降价，须在甲平台内降价至相同或者更低水平，并采取措施确保相关要求的执行，产生排除、限制竞争的效果。</w:t>
            </w:r>
          </w:p>
          <w:p w14:paraId="7D47DCA2" w14:textId="77777777" w:rsidR="00057EA2" w:rsidRDefault="00000000">
            <w:pPr>
              <w:spacing w:after="0" w:line="550" w:lineRule="exact"/>
              <w:ind w:firstLineChars="0" w:firstLine="627"/>
              <w:rPr>
                <w:rFonts w:ascii="Times New Roman" w:eastAsia="仿宋_GB2312" w:hAnsi="Times New Roman" w:cs="宋体"/>
                <w:color w:val="000000" w:themeColor="text1"/>
                <w:kern w:val="0"/>
                <w:sz w:val="32"/>
                <w:szCs w:val="32"/>
              </w:rPr>
            </w:pPr>
            <w:r>
              <w:rPr>
                <w:rFonts w:ascii="Times New Roman" w:eastAsia="方正楷体_GBK" w:hAnsi="Times New Roman" w:cs="方正楷体_GBK" w:hint="eastAsia"/>
                <w:color w:val="000000" w:themeColor="text1"/>
                <w:kern w:val="0"/>
                <w:sz w:val="32"/>
                <w:szCs w:val="32"/>
              </w:rPr>
              <w:t>不具有市场支配地位的平台经营者，要求平台内经营者在商品价格、数量等方面向其提供等于或者优于竞争性平台的交易条件，可能构成纵向垄断协议。</w:t>
            </w:r>
          </w:p>
        </w:tc>
      </w:tr>
    </w:tbl>
    <w:p w14:paraId="0C2152AF"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58" w:name="_Toc820730567"/>
      <w:bookmarkStart w:id="59" w:name="_Toc754845569"/>
      <w:r>
        <w:rPr>
          <w:rFonts w:ascii="Times New Roman" w:eastAsia="黑体" w:hAnsi="Times New Roman" w:cs="黑体" w:hint="eastAsia"/>
          <w:color w:val="000000" w:themeColor="text1"/>
          <w:kern w:val="0"/>
          <w:sz w:val="32"/>
          <w:szCs w:val="32"/>
        </w:rPr>
        <w:lastRenderedPageBreak/>
        <w:t>第十五条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差别待遇</w:t>
      </w:r>
      <w:bookmarkEnd w:id="58"/>
      <w:bookmarkEnd w:id="59"/>
    </w:p>
    <w:p w14:paraId="756DC881"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具有市场支配地位的平台经营者，要避免通过以下方式滥用市场支配地位，没有正当理由，对交易条件相同的平台内经营者、消费者等交易相对人实施差别待遇，排除、限制市场竞争：</w:t>
      </w:r>
    </w:p>
    <w:p w14:paraId="0FB20144"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（一）对商品类别、订单数量、评分等级等交易条件相同的交易相对人，在进入平台、收取费用、营销推广等方面实行差异性标准、规则、算法；</w:t>
      </w:r>
    </w:p>
    <w:p w14:paraId="3AE73FAE"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（二）基于用户偏好、交易历史、终端设备等数据，利用支付能力、用户黏性、价格敏感度等分析算法，实行差异性交易价格、付款条件、交易方式等。</w:t>
      </w:r>
    </w:p>
    <w:p w14:paraId="5482D5F8"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前款所称交易条件相同，是指交易相对人之间在交易安全、交易成本、信用状况、所处交易环节、交易持续时间等方面不存在实质性影响交易的差别。平台经营者在交易中获取的交易相对人的隐私信息、交易历史、个体偏好、消费习惯等方面存在的差异不影响认定交易相对人条件相同。</w:t>
      </w:r>
      <w:r>
        <w:rPr>
          <w:rFonts w:ascii="Times New Roman" w:eastAsia="仿宋_GB2312" w:hAnsi="Times New Roman" w:cs="宋体" w:hint="eastAsia"/>
          <w:color w:val="000000" w:themeColor="text1"/>
          <w:kern w:val="0"/>
          <w:sz w:val="32"/>
          <w:szCs w:val="32"/>
        </w:rPr>
        <w:t xml:space="preserve"> </w:t>
      </w:r>
    </w:p>
    <w:tbl>
      <w:tblPr>
        <w:tblStyle w:val="af5"/>
        <w:tblW w:w="0" w:type="auto"/>
        <w:tblLook w:val="04A0" w:firstRow="1" w:lastRow="0" w:firstColumn="1" w:lastColumn="0" w:noHBand="0" w:noVBand="1"/>
      </w:tblPr>
      <w:tblGrid>
        <w:gridCol w:w="8948"/>
      </w:tblGrid>
      <w:tr w:rsidR="00057EA2" w14:paraId="4A8933DF" w14:textId="77777777">
        <w:tc>
          <w:tcPr>
            <w:tcW w:w="9168" w:type="dxa"/>
          </w:tcPr>
          <w:p w14:paraId="3A576A2E" w14:textId="77777777" w:rsidR="00057EA2" w:rsidRDefault="00000000">
            <w:pPr>
              <w:spacing w:after="0" w:line="550" w:lineRule="exact"/>
              <w:ind w:firstLine="627"/>
              <w:rPr>
                <w:rFonts w:ascii="Times New Roman" w:eastAsia="方正楷体_GBK" w:hAnsi="Times New Roman" w:cs="方正楷体_GBK"/>
                <w:b/>
                <w:bCs/>
                <w:color w:val="000000" w:themeColor="text1"/>
                <w:kern w:val="0"/>
                <w:sz w:val="32"/>
                <w:szCs w:val="32"/>
              </w:rPr>
            </w:pPr>
            <w:r>
              <w:rPr>
                <w:rFonts w:ascii="Times New Roman" w:eastAsia="方正楷体_GBK" w:hAnsi="Times New Roman" w:cs="方正楷体_GBK" w:hint="eastAsia"/>
                <w:b/>
                <w:bCs/>
                <w:color w:val="000000" w:themeColor="text1"/>
                <w:kern w:val="0"/>
                <w:sz w:val="32"/>
                <w:szCs w:val="32"/>
              </w:rPr>
              <w:t>风险示例：平台差别待遇</w:t>
            </w:r>
          </w:p>
          <w:p w14:paraId="46912D71"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方正楷体_GBK" w:hAnsi="Times New Roman" w:cs="方正楷体_GBK" w:hint="eastAsia"/>
                <w:color w:val="000000" w:themeColor="text1"/>
                <w:kern w:val="0"/>
                <w:sz w:val="32"/>
                <w:szCs w:val="32"/>
              </w:rPr>
              <w:t>具有市场支配地位的平台经营者，滥用市场支配地位，没有</w:t>
            </w:r>
            <w:r>
              <w:rPr>
                <w:rFonts w:ascii="Times New Roman" w:eastAsia="方正楷体_GBK" w:hAnsi="Times New Roman" w:cs="方正楷体_GBK" w:hint="eastAsia"/>
                <w:color w:val="000000" w:themeColor="text1"/>
                <w:kern w:val="0"/>
                <w:sz w:val="32"/>
                <w:szCs w:val="32"/>
              </w:rPr>
              <w:lastRenderedPageBreak/>
              <w:t>正当理由，对交易条件相同的平台内经营者、消费者等交易相对人，实施价格、政策等方面的差别待遇，排除、限制市场竞争。比如：平台经营者甲具有市场支配地位，没有正当理由，对规模、商品、信用等方面交易条件均相同的平台内经营者，按明显不同的抽佣比例收取佣金，产生排除、限制市场竞争的效果。</w:t>
            </w:r>
          </w:p>
        </w:tc>
      </w:tr>
    </w:tbl>
    <w:p w14:paraId="0C97DA77"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60" w:name="_Toc1678753900"/>
      <w:bookmarkStart w:id="61" w:name="_Toc194144720"/>
      <w:bookmarkStart w:id="62" w:name="_Toc110279710"/>
      <w:bookmarkStart w:id="63" w:name="_Toc600386359"/>
      <w:bookmarkEnd w:id="39"/>
      <w:bookmarkEnd w:id="40"/>
      <w:r>
        <w:rPr>
          <w:rFonts w:ascii="Times New Roman" w:eastAsia="黑体" w:hAnsi="Times New Roman" w:cs="黑体" w:hint="eastAsia"/>
          <w:color w:val="000000" w:themeColor="text1"/>
          <w:kern w:val="0"/>
          <w:sz w:val="32"/>
          <w:szCs w:val="32"/>
        </w:rPr>
        <w:lastRenderedPageBreak/>
        <w:t>第十六条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正当理由</w:t>
      </w:r>
      <w:bookmarkEnd w:id="60"/>
      <w:bookmarkEnd w:id="61"/>
      <w:bookmarkEnd w:id="62"/>
    </w:p>
    <w:p w14:paraId="38A4C2A6"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平台经营者在评估是否具有本指引第十一条至第十五条规定的正当理由时，可以考虑以下因素：</w:t>
      </w:r>
    </w:p>
    <w:p w14:paraId="23CC35B8"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（一）在合理期限内，为发展平台内其他业务、为促进新商品进入市场、开展促销活动等；</w:t>
      </w:r>
    </w:p>
    <w:p w14:paraId="6C359E65"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（二）符合公平、合理、无歧视的平台规则，或者为防止平台经营者利益发生不当减损；</w:t>
      </w:r>
    </w:p>
    <w:p w14:paraId="600A7EA0"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（三）为保护交易相对人、消费者、从业人员合法权益或者维护合理的经营模式所必需；</w:t>
      </w:r>
    </w:p>
    <w:p w14:paraId="0DA8BCBC"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（四）符合正当的行业惯例和交易习惯；</w:t>
      </w:r>
    </w:p>
    <w:p w14:paraId="1D5D2E66"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（五）为保护知识产权、商业秘密、个人信息或者针对交易进行的特定资源投入所必需；</w:t>
      </w:r>
    </w:p>
    <w:p w14:paraId="1AC9B814"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（六）为保护交易安全、数据安全或者网络安全所必需；</w:t>
      </w:r>
    </w:p>
    <w:p w14:paraId="47A79382"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（七）存在不可抗力等客观因素；</w:t>
      </w:r>
    </w:p>
    <w:p w14:paraId="02D2BD91"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bookmarkStart w:id="64" w:name="_Toc406942163"/>
      <w:bookmarkStart w:id="65" w:name="_Toc856130636"/>
      <w:bookmarkStart w:id="66" w:name="_Toc1635576065"/>
      <w:bookmarkEnd w:id="63"/>
      <w:r>
        <w:rPr>
          <w:rFonts w:ascii="Times New Roman" w:eastAsia="仿宋_GB2312" w:hAnsi="Times New Roman" w:cs="宋体" w:hint="eastAsia"/>
          <w:color w:val="000000" w:themeColor="text1"/>
          <w:kern w:val="0"/>
          <w:sz w:val="32"/>
          <w:szCs w:val="32"/>
        </w:rPr>
        <w:t>（八）能够证明行为具有正当性的其他理由。</w:t>
      </w:r>
    </w:p>
    <w:p w14:paraId="69BF2742"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与竞争性平台经营者做法一致、顺应消费趋势、保护市场价格稳定性、维持平台生态整体性等理由一般不属于本指引第十一条至第十五条规定的正当理由。</w:t>
      </w:r>
    </w:p>
    <w:p w14:paraId="65520909" w14:textId="77777777" w:rsidR="00057EA2" w:rsidRDefault="00000000">
      <w:pPr>
        <w:spacing w:after="0" w:line="550" w:lineRule="exact"/>
        <w:ind w:firstLineChars="0" w:firstLine="0"/>
        <w:jc w:val="center"/>
        <w:outlineLvl w:val="0"/>
        <w:rPr>
          <w:rFonts w:ascii="Times New Roman" w:eastAsia="黑体" w:hAnsi="Times New Roman" w:cs="黑体"/>
          <w:color w:val="000000" w:themeColor="text1"/>
          <w:kern w:val="0"/>
          <w:sz w:val="32"/>
          <w:szCs w:val="32"/>
        </w:rPr>
      </w:pPr>
      <w:bookmarkStart w:id="67" w:name="_Toc627984942"/>
      <w:r>
        <w:rPr>
          <w:rFonts w:ascii="Times New Roman" w:eastAsia="黑体" w:hAnsi="Times New Roman" w:cs="黑体" w:hint="eastAsia"/>
          <w:color w:val="000000" w:themeColor="text1"/>
          <w:kern w:val="0"/>
          <w:sz w:val="32"/>
          <w:szCs w:val="32"/>
        </w:rPr>
        <w:lastRenderedPageBreak/>
        <w:t>第三节　经营者集中</w:t>
      </w:r>
      <w:bookmarkEnd w:id="67"/>
    </w:p>
    <w:p w14:paraId="17318AFE" w14:textId="77777777" w:rsidR="00057EA2" w:rsidRDefault="00000000">
      <w:pPr>
        <w:spacing w:after="0" w:line="550" w:lineRule="exact"/>
        <w:ind w:firstLine="627"/>
        <w:rPr>
          <w:rFonts w:ascii="Times New Roman" w:eastAsia="黑体" w:hAnsi="Times New Roman" w:cs="黑体"/>
          <w:color w:val="000000" w:themeColor="text1"/>
          <w:kern w:val="0"/>
          <w:sz w:val="32"/>
          <w:szCs w:val="32"/>
        </w:rPr>
      </w:pPr>
      <w:r>
        <w:rPr>
          <w:rFonts w:ascii="Times New Roman" w:eastAsia="仿宋_GB2312" w:hAnsi="Times New Roman" w:cs="宋体" w:hint="eastAsia"/>
          <w:color w:val="000000" w:themeColor="text1"/>
          <w:kern w:val="0"/>
          <w:sz w:val="32"/>
          <w:szCs w:val="32"/>
        </w:rPr>
        <w:t>经营者集中包括以下情形：经营者合并，经营者通过取得股权或者资产的方式取得对其他经营者的控制权，经营者通过合同等方式取得对其他经营者的控制权或者能够对其他经营者施加决定性影响。</w:t>
      </w:r>
      <w:bookmarkStart w:id="68" w:name="_Toc264734625"/>
    </w:p>
    <w:p w14:paraId="62ADFB40"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r>
        <w:rPr>
          <w:rFonts w:ascii="Times New Roman" w:eastAsia="黑体" w:hAnsi="Times New Roman" w:cs="黑体" w:hint="eastAsia"/>
          <w:color w:val="000000" w:themeColor="text1"/>
          <w:kern w:val="0"/>
          <w:sz w:val="32"/>
          <w:szCs w:val="32"/>
        </w:rPr>
        <w:t>第十七条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经营者集中</w:t>
      </w:r>
      <w:bookmarkEnd w:id="64"/>
      <w:bookmarkEnd w:id="65"/>
      <w:bookmarkEnd w:id="66"/>
      <w:bookmarkEnd w:id="68"/>
      <w:r>
        <w:rPr>
          <w:rFonts w:ascii="Times New Roman" w:eastAsia="黑体" w:hAnsi="Times New Roman" w:cs="黑体" w:hint="eastAsia"/>
          <w:color w:val="000000" w:themeColor="text1"/>
          <w:kern w:val="0"/>
          <w:sz w:val="32"/>
          <w:szCs w:val="32"/>
        </w:rPr>
        <w:t>申报</w:t>
      </w:r>
    </w:p>
    <w:p w14:paraId="478CC34E"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经营者集中达到申报标准的，经营者应当事先向市场监管总局申报，未申报或者申报后获得批准前不得实施集中。</w:t>
      </w:r>
    </w:p>
    <w:p w14:paraId="7E2D673E"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69" w:name="_Toc1818133238"/>
      <w:r>
        <w:rPr>
          <w:rFonts w:ascii="Times New Roman" w:eastAsia="黑体" w:hAnsi="Times New Roman" w:cs="黑体" w:hint="eastAsia"/>
          <w:color w:val="000000" w:themeColor="text1"/>
          <w:kern w:val="0"/>
          <w:sz w:val="32"/>
          <w:szCs w:val="32"/>
        </w:rPr>
        <w:t>第十八条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经营者集中</w:t>
      </w:r>
      <w:bookmarkEnd w:id="69"/>
      <w:r>
        <w:rPr>
          <w:rFonts w:ascii="Times New Roman" w:eastAsia="黑体" w:hAnsi="Times New Roman" w:cs="黑体" w:hint="eastAsia"/>
          <w:color w:val="000000" w:themeColor="text1"/>
          <w:kern w:val="0"/>
          <w:sz w:val="32"/>
          <w:szCs w:val="32"/>
        </w:rPr>
        <w:t>合规</w:t>
      </w:r>
    </w:p>
    <w:p w14:paraId="2EDEA28C"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平台经营者可以参考《经营者集中反垄断合规指引》，识别、评估和管控经营者集中反垄断合规风险，避免具有或者可能具有排除、限制竞争效果的经营者集中，防范因违法实施集中承担法律责任。</w:t>
      </w:r>
    </w:p>
    <w:p w14:paraId="2E0E936D" w14:textId="77777777" w:rsidR="00057EA2" w:rsidRDefault="00000000">
      <w:pPr>
        <w:spacing w:after="0" w:line="550" w:lineRule="exact"/>
        <w:ind w:firstLineChars="0" w:firstLine="0"/>
        <w:jc w:val="center"/>
        <w:outlineLvl w:val="0"/>
        <w:rPr>
          <w:rFonts w:ascii="Times New Roman" w:eastAsia="黑体" w:hAnsi="Times New Roman" w:cs="黑体"/>
          <w:color w:val="000000" w:themeColor="text1"/>
          <w:kern w:val="0"/>
          <w:sz w:val="32"/>
          <w:szCs w:val="32"/>
        </w:rPr>
      </w:pPr>
      <w:bookmarkStart w:id="70" w:name="_Toc2131969333"/>
      <w:r>
        <w:rPr>
          <w:rFonts w:ascii="Times New Roman" w:eastAsia="黑体" w:hAnsi="Times New Roman" w:cs="黑体" w:hint="eastAsia"/>
          <w:color w:val="000000" w:themeColor="text1"/>
          <w:kern w:val="0"/>
          <w:sz w:val="32"/>
          <w:szCs w:val="32"/>
        </w:rPr>
        <w:t>第四节　滥用行政权力排除、限制竞争</w:t>
      </w:r>
      <w:bookmarkEnd w:id="70"/>
    </w:p>
    <w:p w14:paraId="003A89C7"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《反垄断法》禁止行政机关和法律、法规授权的具有管理公共事务职能的组织（以下称行政主体）滥用行政权力排除、限制竞争。平台经营者要避免主动或者被动在行政主体协调、推动或者要求下从事垄断行为。</w:t>
      </w:r>
    </w:p>
    <w:p w14:paraId="60C44E37"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71" w:name="_Toc465225694"/>
      <w:r>
        <w:rPr>
          <w:rFonts w:ascii="Times New Roman" w:eastAsia="黑体" w:hAnsi="Times New Roman" w:cs="黑体" w:hint="eastAsia"/>
          <w:color w:val="000000" w:themeColor="text1"/>
          <w:kern w:val="0"/>
          <w:sz w:val="32"/>
          <w:szCs w:val="32"/>
        </w:rPr>
        <w:t>第十九条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行政主体协调、推动的垄断行为</w:t>
      </w:r>
      <w:bookmarkEnd w:id="71"/>
    </w:p>
    <w:p w14:paraId="65F9734A"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平台经营者要避免主动参与行政主体协调或者推动的《反垄断法》禁止的垄断行为，或者利用与行政主体签订合作协议、备忘录等实施垄断行为。</w:t>
      </w:r>
    </w:p>
    <w:p w14:paraId="2DC8C7E8"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72" w:name="_Toc383387347"/>
      <w:bookmarkStart w:id="73" w:name="_Toc227184774"/>
      <w:bookmarkStart w:id="74" w:name="_Toc748523236"/>
      <w:bookmarkStart w:id="75" w:name="_Toc1938572143"/>
      <w:r>
        <w:rPr>
          <w:rFonts w:ascii="Times New Roman" w:eastAsia="黑体" w:hAnsi="Times New Roman" w:cs="黑体" w:hint="eastAsia"/>
          <w:color w:val="000000" w:themeColor="text1"/>
          <w:kern w:val="0"/>
          <w:sz w:val="32"/>
          <w:szCs w:val="32"/>
        </w:rPr>
        <w:t>第二十条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行政主体要求的垄断行为</w:t>
      </w:r>
      <w:bookmarkEnd w:id="72"/>
    </w:p>
    <w:p w14:paraId="0AA9E9F3"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行政主体要求平台经营者从事垄断行为时，鼓励平台经营者予</w:t>
      </w:r>
      <w:r>
        <w:rPr>
          <w:rFonts w:ascii="Times New Roman" w:eastAsia="仿宋_GB2312" w:hAnsi="Times New Roman" w:cs="宋体" w:hint="eastAsia"/>
          <w:color w:val="000000" w:themeColor="text1"/>
          <w:kern w:val="0"/>
          <w:sz w:val="32"/>
          <w:szCs w:val="32"/>
        </w:rPr>
        <w:lastRenderedPageBreak/>
        <w:t>以明确拒绝，并保存相应的证据材料。</w:t>
      </w:r>
    </w:p>
    <w:p w14:paraId="3380BA83"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收到行政主体要求执行的办法、决定、公告、通知、意见、函件、会议纪要等文件时，要重点关注文件内容是否存在反垄断合规风险，存在风险的，及时向行政主体作出提示，必要时向反垄断执法机构反映。</w:t>
      </w:r>
    </w:p>
    <w:p w14:paraId="6C800602" w14:textId="77777777" w:rsidR="00057EA2" w:rsidRDefault="00057EA2">
      <w:pPr>
        <w:spacing w:after="0" w:line="550" w:lineRule="exact"/>
        <w:ind w:firstLineChars="0" w:firstLine="0"/>
        <w:jc w:val="center"/>
        <w:outlineLvl w:val="0"/>
        <w:rPr>
          <w:rFonts w:ascii="Times New Roman" w:eastAsia="黑体" w:hAnsi="Times New Roman" w:cs="黑体"/>
          <w:color w:val="000000" w:themeColor="text1"/>
          <w:kern w:val="0"/>
          <w:sz w:val="32"/>
          <w:szCs w:val="32"/>
        </w:rPr>
      </w:pPr>
      <w:bookmarkStart w:id="76" w:name="_Toc1362483557"/>
    </w:p>
    <w:p w14:paraId="06737371" w14:textId="77777777" w:rsidR="00057EA2" w:rsidRDefault="00000000">
      <w:pPr>
        <w:spacing w:after="0" w:line="550" w:lineRule="exact"/>
        <w:ind w:firstLineChars="0" w:firstLine="0"/>
        <w:jc w:val="center"/>
        <w:outlineLvl w:val="0"/>
        <w:rPr>
          <w:rFonts w:ascii="Times New Roman" w:eastAsia="黑体" w:hAnsi="Times New Roman" w:cs="黑体"/>
          <w:color w:val="000000" w:themeColor="text1"/>
          <w:kern w:val="0"/>
          <w:sz w:val="32"/>
          <w:szCs w:val="32"/>
        </w:rPr>
      </w:pPr>
      <w:r>
        <w:rPr>
          <w:rFonts w:ascii="Times New Roman" w:eastAsia="黑体" w:hAnsi="Times New Roman" w:cs="黑体" w:hint="eastAsia"/>
          <w:color w:val="000000" w:themeColor="text1"/>
          <w:kern w:val="0"/>
          <w:sz w:val="32"/>
          <w:szCs w:val="32"/>
        </w:rPr>
        <w:t>第三章</w:t>
      </w:r>
      <w:bookmarkStart w:id="77" w:name="_Toc236641466"/>
      <w:bookmarkStart w:id="78" w:name="_Toc1586700792"/>
      <w:bookmarkStart w:id="79" w:name="_Toc1826129933"/>
      <w:bookmarkEnd w:id="73"/>
      <w:bookmarkEnd w:id="74"/>
      <w:bookmarkEnd w:id="75"/>
      <w:r>
        <w:rPr>
          <w:rFonts w:ascii="Times New Roman" w:eastAsia="黑体" w:hAnsi="Times New Roman" w:cs="黑体" w:hint="eastAsia"/>
          <w:color w:val="000000" w:themeColor="text1"/>
          <w:kern w:val="0"/>
          <w:sz w:val="32"/>
          <w:szCs w:val="32"/>
        </w:rPr>
        <w:t xml:space="preserve">  </w:t>
      </w:r>
      <w:bookmarkEnd w:id="77"/>
      <w:bookmarkEnd w:id="78"/>
      <w:bookmarkEnd w:id="79"/>
      <w:r>
        <w:rPr>
          <w:rFonts w:ascii="Times New Roman" w:eastAsia="黑体" w:hAnsi="Times New Roman" w:cs="黑体" w:hint="eastAsia"/>
          <w:color w:val="000000" w:themeColor="text1"/>
          <w:kern w:val="0"/>
          <w:sz w:val="32"/>
          <w:szCs w:val="32"/>
        </w:rPr>
        <w:t>风险管理</w:t>
      </w:r>
      <w:bookmarkEnd w:id="76"/>
    </w:p>
    <w:p w14:paraId="16205B25"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80" w:name="_Toc783588489"/>
      <w:bookmarkStart w:id="81" w:name="_Toc933441507"/>
      <w:bookmarkStart w:id="82" w:name="_Toc157168128"/>
      <w:bookmarkStart w:id="83" w:name="_Toc1588421262"/>
      <w:r>
        <w:rPr>
          <w:rFonts w:ascii="Times New Roman" w:eastAsia="黑体" w:hAnsi="Times New Roman" w:cs="黑体" w:hint="eastAsia"/>
          <w:color w:val="000000" w:themeColor="text1"/>
          <w:kern w:val="0"/>
          <w:sz w:val="32"/>
          <w:szCs w:val="32"/>
        </w:rPr>
        <w:t>第二十一条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风险评估</w:t>
      </w:r>
      <w:bookmarkEnd w:id="80"/>
      <w:bookmarkEnd w:id="81"/>
      <w:bookmarkEnd w:id="82"/>
      <w:bookmarkEnd w:id="83"/>
    </w:p>
    <w:p w14:paraId="72554A8B"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平台经营者可以</w:t>
      </w:r>
      <w:r>
        <w:rPr>
          <w:rFonts w:ascii="Times New Roman" w:eastAsia="仿宋_GB2312" w:hAnsi="Times New Roman" w:cs="宋体"/>
          <w:color w:val="000000" w:themeColor="text1"/>
          <w:kern w:val="0"/>
          <w:sz w:val="32"/>
          <w:szCs w:val="32"/>
        </w:rPr>
        <w:t>根据</w:t>
      </w:r>
      <w:r>
        <w:rPr>
          <w:rFonts w:ascii="Times New Roman" w:eastAsia="仿宋_GB2312" w:hAnsi="Times New Roman" w:cs="宋体" w:hint="eastAsia"/>
          <w:color w:val="000000" w:themeColor="text1"/>
          <w:kern w:val="0"/>
          <w:sz w:val="32"/>
          <w:szCs w:val="32"/>
        </w:rPr>
        <w:t>所处行业特点和市场竞争状况，结合</w:t>
      </w:r>
      <w:r>
        <w:rPr>
          <w:rFonts w:ascii="Times New Roman" w:eastAsia="仿宋_GB2312" w:hAnsi="Times New Roman" w:cs="宋体"/>
          <w:color w:val="000000" w:themeColor="text1"/>
          <w:kern w:val="0"/>
          <w:sz w:val="32"/>
          <w:szCs w:val="32"/>
        </w:rPr>
        <w:t>自身经营规模、</w:t>
      </w:r>
      <w:r>
        <w:rPr>
          <w:rFonts w:ascii="Times New Roman" w:eastAsia="仿宋_GB2312" w:hAnsi="Times New Roman" w:cs="宋体" w:hint="eastAsia"/>
          <w:color w:val="000000" w:themeColor="text1"/>
          <w:kern w:val="0"/>
          <w:sz w:val="32"/>
          <w:szCs w:val="32"/>
        </w:rPr>
        <w:t>商业模式</w:t>
      </w:r>
      <w:r>
        <w:rPr>
          <w:rFonts w:ascii="Times New Roman" w:eastAsia="仿宋_GB2312" w:hAnsi="Times New Roman" w:cs="宋体"/>
          <w:color w:val="000000" w:themeColor="text1"/>
          <w:kern w:val="0"/>
          <w:sz w:val="32"/>
          <w:szCs w:val="32"/>
        </w:rPr>
        <w:t>等因素，</w:t>
      </w:r>
      <w:r>
        <w:rPr>
          <w:rFonts w:ascii="Times New Roman" w:eastAsia="仿宋_GB2312" w:hAnsi="Times New Roman" w:cs="宋体" w:hint="eastAsia"/>
          <w:color w:val="000000" w:themeColor="text1"/>
          <w:kern w:val="0"/>
          <w:sz w:val="32"/>
          <w:szCs w:val="32"/>
        </w:rPr>
        <w:t>建立风险评估指标体系，</w:t>
      </w:r>
      <w:r>
        <w:rPr>
          <w:rFonts w:ascii="Times New Roman" w:eastAsia="仿宋_GB2312" w:hAnsi="Times New Roman" w:cs="宋体"/>
          <w:color w:val="000000" w:themeColor="text1"/>
          <w:kern w:val="0"/>
          <w:sz w:val="32"/>
          <w:szCs w:val="32"/>
        </w:rPr>
        <w:t>全面</w:t>
      </w:r>
      <w:r>
        <w:rPr>
          <w:rFonts w:ascii="Times New Roman" w:eastAsia="仿宋_GB2312" w:hAnsi="Times New Roman" w:cs="宋体" w:hint="eastAsia"/>
          <w:color w:val="000000" w:themeColor="text1"/>
          <w:kern w:val="0"/>
          <w:sz w:val="32"/>
          <w:szCs w:val="32"/>
        </w:rPr>
        <w:t>评估反垄断</w:t>
      </w:r>
      <w:r>
        <w:rPr>
          <w:rFonts w:ascii="Times New Roman" w:eastAsia="仿宋_GB2312" w:hAnsi="Times New Roman" w:cs="宋体"/>
          <w:color w:val="000000" w:themeColor="text1"/>
          <w:kern w:val="0"/>
          <w:sz w:val="32"/>
          <w:szCs w:val="32"/>
        </w:rPr>
        <w:t>合规风险</w:t>
      </w:r>
      <w:r>
        <w:rPr>
          <w:rFonts w:ascii="Times New Roman" w:eastAsia="仿宋_GB2312" w:hAnsi="Times New Roman" w:cs="宋体" w:hint="eastAsia"/>
          <w:color w:val="000000" w:themeColor="text1"/>
          <w:kern w:val="0"/>
          <w:sz w:val="32"/>
          <w:szCs w:val="32"/>
        </w:rPr>
        <w:t>。鼓励平台经营者基于风险评估施行分类分级管理，对</w:t>
      </w:r>
      <w:r>
        <w:rPr>
          <w:rFonts w:ascii="Times New Roman" w:eastAsia="仿宋_GB2312" w:hAnsi="Times New Roman" w:cs="宋体"/>
          <w:color w:val="000000" w:themeColor="text1"/>
          <w:kern w:val="0"/>
          <w:sz w:val="32"/>
          <w:szCs w:val="32"/>
        </w:rPr>
        <w:t>不同</w:t>
      </w:r>
      <w:r>
        <w:rPr>
          <w:rFonts w:ascii="Times New Roman" w:eastAsia="仿宋_GB2312" w:hAnsi="Times New Roman" w:cs="宋体" w:hint="eastAsia"/>
          <w:color w:val="000000" w:themeColor="text1"/>
          <w:kern w:val="0"/>
          <w:sz w:val="32"/>
          <w:szCs w:val="32"/>
        </w:rPr>
        <w:t>类别、</w:t>
      </w:r>
      <w:r>
        <w:rPr>
          <w:rFonts w:ascii="Times New Roman" w:eastAsia="仿宋_GB2312" w:hAnsi="Times New Roman" w:cs="宋体"/>
          <w:color w:val="000000" w:themeColor="text1"/>
          <w:kern w:val="0"/>
          <w:sz w:val="32"/>
          <w:szCs w:val="32"/>
        </w:rPr>
        <w:t>等级的风险</w:t>
      </w:r>
      <w:r>
        <w:rPr>
          <w:rFonts w:ascii="Times New Roman" w:eastAsia="仿宋_GB2312" w:hAnsi="Times New Roman" w:cs="宋体" w:hint="eastAsia"/>
          <w:color w:val="000000" w:themeColor="text1"/>
          <w:kern w:val="0"/>
          <w:sz w:val="32"/>
          <w:szCs w:val="32"/>
        </w:rPr>
        <w:t>采取不同措施</w:t>
      </w:r>
      <w:r>
        <w:rPr>
          <w:rFonts w:ascii="Times New Roman" w:eastAsia="仿宋_GB2312" w:hAnsi="Times New Roman" w:cs="宋体"/>
          <w:color w:val="000000" w:themeColor="text1"/>
          <w:kern w:val="0"/>
          <w:sz w:val="32"/>
          <w:szCs w:val="32"/>
        </w:rPr>
        <w:t>。</w:t>
      </w:r>
    </w:p>
    <w:p w14:paraId="4D19A7DD"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84" w:name="_Toc1865170181"/>
      <w:bookmarkStart w:id="85" w:name="_Toc1321736093"/>
      <w:bookmarkStart w:id="86" w:name="_Toc388116363"/>
      <w:bookmarkStart w:id="87" w:name="_Toc36717255"/>
      <w:r>
        <w:rPr>
          <w:rFonts w:ascii="Times New Roman" w:eastAsia="黑体" w:hAnsi="Times New Roman" w:cs="黑体" w:hint="eastAsia"/>
          <w:color w:val="000000" w:themeColor="text1"/>
          <w:kern w:val="0"/>
          <w:sz w:val="32"/>
          <w:szCs w:val="32"/>
        </w:rPr>
        <w:t>第二十二条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风险提醒</w:t>
      </w:r>
      <w:bookmarkEnd w:id="84"/>
      <w:bookmarkEnd w:id="85"/>
      <w:bookmarkEnd w:id="86"/>
      <w:bookmarkEnd w:id="87"/>
    </w:p>
    <w:p w14:paraId="6C499C61"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鼓励平台经营者对员工施行分岗分级提醒，</w:t>
      </w:r>
      <w:r>
        <w:rPr>
          <w:rFonts w:ascii="Times New Roman" w:eastAsia="仿宋_GB2312" w:hAnsi="Times New Roman" w:cs="宋体"/>
          <w:color w:val="000000" w:themeColor="text1"/>
          <w:kern w:val="0"/>
          <w:sz w:val="32"/>
          <w:szCs w:val="32"/>
        </w:rPr>
        <w:t>根据不同</w:t>
      </w:r>
      <w:r>
        <w:rPr>
          <w:rFonts w:ascii="Times New Roman" w:eastAsia="仿宋_GB2312" w:hAnsi="Times New Roman" w:cs="宋体" w:hint="eastAsia"/>
          <w:color w:val="000000" w:themeColor="text1"/>
          <w:kern w:val="0"/>
          <w:sz w:val="32"/>
          <w:szCs w:val="32"/>
        </w:rPr>
        <w:t>岗位</w:t>
      </w:r>
      <w:r>
        <w:rPr>
          <w:rFonts w:ascii="Times New Roman" w:eastAsia="仿宋_GB2312" w:hAnsi="Times New Roman" w:cs="宋体"/>
          <w:color w:val="000000" w:themeColor="text1"/>
          <w:kern w:val="0"/>
          <w:sz w:val="32"/>
          <w:szCs w:val="32"/>
        </w:rPr>
        <w:t>、级别和工作范围的员工</w:t>
      </w:r>
      <w:r>
        <w:rPr>
          <w:rFonts w:ascii="Times New Roman" w:eastAsia="仿宋_GB2312" w:hAnsi="Times New Roman" w:cs="宋体" w:hint="eastAsia"/>
          <w:color w:val="000000" w:themeColor="text1"/>
          <w:kern w:val="0"/>
          <w:sz w:val="32"/>
          <w:szCs w:val="32"/>
        </w:rPr>
        <w:t>所</w:t>
      </w:r>
      <w:r>
        <w:rPr>
          <w:rFonts w:ascii="Times New Roman" w:eastAsia="仿宋_GB2312" w:hAnsi="Times New Roman" w:cs="宋体"/>
          <w:color w:val="000000" w:themeColor="text1"/>
          <w:kern w:val="0"/>
          <w:sz w:val="32"/>
          <w:szCs w:val="32"/>
        </w:rPr>
        <w:t>面临的不同风险，</w:t>
      </w:r>
      <w:r>
        <w:rPr>
          <w:rFonts w:ascii="Times New Roman" w:eastAsia="仿宋_GB2312" w:hAnsi="Times New Roman" w:cs="宋体" w:hint="eastAsia"/>
          <w:color w:val="000000" w:themeColor="text1"/>
          <w:kern w:val="0"/>
          <w:sz w:val="32"/>
          <w:szCs w:val="32"/>
        </w:rPr>
        <w:t>针对性开</w:t>
      </w:r>
      <w:r>
        <w:rPr>
          <w:rFonts w:ascii="Times New Roman" w:eastAsia="仿宋_GB2312" w:hAnsi="Times New Roman" w:cs="宋体"/>
          <w:color w:val="000000" w:themeColor="text1"/>
          <w:kern w:val="0"/>
          <w:sz w:val="32"/>
          <w:szCs w:val="32"/>
        </w:rPr>
        <w:t>展风险</w:t>
      </w:r>
      <w:r>
        <w:rPr>
          <w:rFonts w:ascii="Times New Roman" w:eastAsia="仿宋_GB2312" w:hAnsi="Times New Roman" w:cs="宋体" w:hint="eastAsia"/>
          <w:color w:val="000000" w:themeColor="text1"/>
          <w:kern w:val="0"/>
          <w:sz w:val="32"/>
          <w:szCs w:val="32"/>
        </w:rPr>
        <w:t>提醒。</w:t>
      </w:r>
      <w:r>
        <w:rPr>
          <w:rFonts w:ascii="Times New Roman" w:eastAsia="仿宋_GB2312" w:hAnsi="Times New Roman" w:cs="宋体"/>
          <w:color w:val="000000" w:themeColor="text1"/>
          <w:kern w:val="0"/>
          <w:sz w:val="32"/>
          <w:szCs w:val="32"/>
        </w:rPr>
        <w:t>重点做好</w:t>
      </w:r>
      <w:r>
        <w:rPr>
          <w:rFonts w:ascii="Times New Roman" w:eastAsia="仿宋_GB2312" w:hAnsi="Times New Roman" w:cs="宋体" w:hint="eastAsia"/>
          <w:color w:val="000000" w:themeColor="text1"/>
          <w:kern w:val="0"/>
          <w:sz w:val="32"/>
          <w:szCs w:val="32"/>
        </w:rPr>
        <w:t>以下</w:t>
      </w:r>
      <w:r>
        <w:rPr>
          <w:rFonts w:ascii="Times New Roman" w:eastAsia="仿宋_GB2312" w:hAnsi="Times New Roman" w:cs="宋体"/>
          <w:color w:val="000000" w:themeColor="text1"/>
          <w:kern w:val="0"/>
          <w:sz w:val="32"/>
          <w:szCs w:val="32"/>
        </w:rPr>
        <w:t>人员的</w:t>
      </w:r>
      <w:r>
        <w:rPr>
          <w:rFonts w:ascii="Times New Roman" w:eastAsia="仿宋_GB2312" w:hAnsi="Times New Roman" w:cs="宋体" w:hint="eastAsia"/>
          <w:color w:val="000000" w:themeColor="text1"/>
          <w:kern w:val="0"/>
          <w:sz w:val="32"/>
          <w:szCs w:val="32"/>
        </w:rPr>
        <w:t>风险提醒</w:t>
      </w:r>
      <w:r>
        <w:rPr>
          <w:rFonts w:ascii="Times New Roman" w:eastAsia="仿宋_GB2312" w:hAnsi="Times New Roman" w:cs="宋体"/>
          <w:color w:val="000000" w:themeColor="text1"/>
          <w:kern w:val="0"/>
          <w:sz w:val="32"/>
          <w:szCs w:val="32"/>
        </w:rPr>
        <w:t>：</w:t>
      </w:r>
    </w:p>
    <w:p w14:paraId="5F011FEF"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color w:val="000000" w:themeColor="text1"/>
          <w:kern w:val="0"/>
          <w:sz w:val="32"/>
          <w:szCs w:val="32"/>
        </w:rPr>
        <w:t>（一）</w:t>
      </w:r>
      <w:r>
        <w:rPr>
          <w:rFonts w:ascii="Times New Roman" w:eastAsia="仿宋_GB2312" w:hAnsi="Times New Roman" w:cs="宋体" w:hint="eastAsia"/>
          <w:color w:val="000000" w:themeColor="text1"/>
          <w:kern w:val="0"/>
          <w:sz w:val="32"/>
          <w:szCs w:val="32"/>
        </w:rPr>
        <w:t>法定代表人、董事、</w:t>
      </w:r>
      <w:r>
        <w:rPr>
          <w:rFonts w:ascii="Times New Roman" w:eastAsia="仿宋_GB2312" w:hAnsi="Times New Roman" w:cs="宋体"/>
          <w:color w:val="000000" w:themeColor="text1"/>
          <w:kern w:val="0"/>
          <w:sz w:val="32"/>
          <w:szCs w:val="32"/>
        </w:rPr>
        <w:t>高级管理人员；</w:t>
      </w:r>
    </w:p>
    <w:p w14:paraId="493306D7"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color w:val="000000" w:themeColor="text1"/>
          <w:kern w:val="0"/>
          <w:sz w:val="32"/>
          <w:szCs w:val="32"/>
        </w:rPr>
        <w:t>（二）</w:t>
      </w:r>
      <w:r>
        <w:rPr>
          <w:rFonts w:ascii="Times New Roman" w:eastAsia="仿宋_GB2312" w:hAnsi="Times New Roman" w:cs="宋体" w:hint="eastAsia"/>
          <w:color w:val="000000" w:themeColor="text1"/>
          <w:kern w:val="0"/>
          <w:sz w:val="32"/>
          <w:szCs w:val="32"/>
        </w:rPr>
        <w:t>主要</w:t>
      </w:r>
      <w:r>
        <w:rPr>
          <w:rFonts w:ascii="Times New Roman" w:eastAsia="仿宋_GB2312" w:hAnsi="Times New Roman" w:cs="宋体"/>
          <w:color w:val="000000" w:themeColor="text1"/>
          <w:kern w:val="0"/>
          <w:sz w:val="32"/>
          <w:szCs w:val="32"/>
        </w:rPr>
        <w:t>业务</w:t>
      </w:r>
      <w:r>
        <w:rPr>
          <w:rFonts w:ascii="Times New Roman" w:eastAsia="仿宋_GB2312" w:hAnsi="Times New Roman" w:cs="宋体" w:hint="eastAsia"/>
          <w:color w:val="000000" w:themeColor="text1"/>
          <w:kern w:val="0"/>
          <w:sz w:val="32"/>
          <w:szCs w:val="32"/>
        </w:rPr>
        <w:t>负责人、新业务负责人</w:t>
      </w:r>
      <w:r>
        <w:rPr>
          <w:rFonts w:ascii="Times New Roman" w:eastAsia="仿宋_GB2312" w:hAnsi="Times New Roman" w:cs="宋体"/>
          <w:color w:val="000000" w:themeColor="text1"/>
          <w:kern w:val="0"/>
          <w:sz w:val="32"/>
          <w:szCs w:val="32"/>
        </w:rPr>
        <w:t>；</w:t>
      </w:r>
    </w:p>
    <w:p w14:paraId="459A38FA"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color w:val="000000" w:themeColor="text1"/>
          <w:kern w:val="0"/>
          <w:sz w:val="32"/>
          <w:szCs w:val="32"/>
        </w:rPr>
        <w:t>（三）</w:t>
      </w:r>
      <w:r>
        <w:rPr>
          <w:rFonts w:ascii="Times New Roman" w:eastAsia="仿宋_GB2312" w:hAnsi="Times New Roman" w:cs="宋体" w:hint="eastAsia"/>
          <w:color w:val="000000" w:themeColor="text1"/>
          <w:kern w:val="0"/>
          <w:sz w:val="32"/>
          <w:szCs w:val="32"/>
        </w:rPr>
        <w:t>可能与竞争性平台经营者或者上下游经营者</w:t>
      </w:r>
      <w:r>
        <w:rPr>
          <w:rFonts w:ascii="Times New Roman" w:eastAsia="仿宋_GB2312" w:hAnsi="Times New Roman" w:cs="宋体"/>
          <w:color w:val="000000" w:themeColor="text1"/>
          <w:kern w:val="0"/>
          <w:sz w:val="32"/>
          <w:szCs w:val="32"/>
        </w:rPr>
        <w:t>接触的人员；</w:t>
      </w:r>
    </w:p>
    <w:p w14:paraId="4888A49D"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color w:val="000000" w:themeColor="text1"/>
          <w:kern w:val="0"/>
          <w:sz w:val="32"/>
          <w:szCs w:val="32"/>
        </w:rPr>
        <w:t>（四）负责销售、采购、价格和商务政策制定、并购管理、销售网络管理以及联络行业协会等事项的部门</w:t>
      </w:r>
      <w:r>
        <w:rPr>
          <w:rFonts w:ascii="Times New Roman" w:eastAsia="仿宋_GB2312" w:hAnsi="Times New Roman" w:cs="宋体" w:hint="eastAsia"/>
          <w:color w:val="000000" w:themeColor="text1"/>
          <w:kern w:val="0"/>
          <w:sz w:val="32"/>
          <w:szCs w:val="32"/>
        </w:rPr>
        <w:t>中</w:t>
      </w:r>
      <w:r>
        <w:rPr>
          <w:rFonts w:ascii="Times New Roman" w:eastAsia="仿宋_GB2312" w:hAnsi="Times New Roman" w:cs="宋体"/>
          <w:color w:val="000000" w:themeColor="text1"/>
          <w:kern w:val="0"/>
          <w:sz w:val="32"/>
          <w:szCs w:val="32"/>
        </w:rPr>
        <w:t>知晓</w:t>
      </w:r>
      <w:r>
        <w:rPr>
          <w:rFonts w:ascii="Times New Roman" w:eastAsia="仿宋_GB2312" w:hAnsi="Times New Roman" w:cs="宋体" w:hint="eastAsia"/>
          <w:color w:val="000000" w:themeColor="text1"/>
          <w:kern w:val="0"/>
          <w:sz w:val="32"/>
          <w:szCs w:val="32"/>
        </w:rPr>
        <w:t>竞争性</w:t>
      </w:r>
      <w:r>
        <w:rPr>
          <w:rFonts w:ascii="Times New Roman" w:eastAsia="仿宋_GB2312" w:hAnsi="Times New Roman" w:cs="宋体"/>
          <w:color w:val="000000" w:themeColor="text1"/>
          <w:kern w:val="0"/>
          <w:sz w:val="32"/>
          <w:szCs w:val="32"/>
        </w:rPr>
        <w:t>敏感信息的人员；</w:t>
      </w:r>
    </w:p>
    <w:p w14:paraId="3D1FF40D"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color w:val="000000" w:themeColor="text1"/>
          <w:kern w:val="0"/>
          <w:sz w:val="32"/>
          <w:szCs w:val="32"/>
        </w:rPr>
        <w:t>（五）曾</w:t>
      </w:r>
      <w:r>
        <w:rPr>
          <w:rFonts w:ascii="Times New Roman" w:eastAsia="仿宋_GB2312" w:hAnsi="Times New Roman" w:cs="宋体" w:hint="eastAsia"/>
          <w:color w:val="000000" w:themeColor="text1"/>
          <w:kern w:val="0"/>
          <w:sz w:val="32"/>
          <w:szCs w:val="32"/>
        </w:rPr>
        <w:t>为</w:t>
      </w:r>
      <w:r>
        <w:rPr>
          <w:rFonts w:ascii="Times New Roman" w:eastAsia="仿宋_GB2312" w:hAnsi="Times New Roman" w:cs="宋体"/>
          <w:color w:val="000000" w:themeColor="text1"/>
          <w:kern w:val="0"/>
          <w:sz w:val="32"/>
          <w:szCs w:val="32"/>
        </w:rPr>
        <w:t>竞争</w:t>
      </w:r>
      <w:r>
        <w:rPr>
          <w:rFonts w:ascii="Times New Roman" w:eastAsia="仿宋_GB2312" w:hAnsi="Times New Roman" w:cs="宋体" w:hint="eastAsia"/>
          <w:color w:val="000000" w:themeColor="text1"/>
          <w:kern w:val="0"/>
          <w:sz w:val="32"/>
          <w:szCs w:val="32"/>
        </w:rPr>
        <w:t>性平台经营者</w:t>
      </w:r>
      <w:r>
        <w:rPr>
          <w:rFonts w:ascii="Times New Roman" w:eastAsia="仿宋_GB2312" w:hAnsi="Times New Roman" w:cs="宋体"/>
          <w:color w:val="000000" w:themeColor="text1"/>
          <w:kern w:val="0"/>
          <w:sz w:val="32"/>
          <w:szCs w:val="32"/>
        </w:rPr>
        <w:t>工作</w:t>
      </w:r>
      <w:r>
        <w:rPr>
          <w:rFonts w:ascii="Times New Roman" w:eastAsia="仿宋_GB2312" w:hAnsi="Times New Roman" w:cs="宋体" w:hint="eastAsia"/>
          <w:color w:val="000000" w:themeColor="text1"/>
          <w:kern w:val="0"/>
          <w:sz w:val="32"/>
          <w:szCs w:val="32"/>
        </w:rPr>
        <w:t>可能</w:t>
      </w:r>
      <w:r>
        <w:rPr>
          <w:rFonts w:ascii="Times New Roman" w:eastAsia="仿宋_GB2312" w:hAnsi="Times New Roman" w:cs="宋体"/>
          <w:color w:val="000000" w:themeColor="text1"/>
          <w:kern w:val="0"/>
          <w:sz w:val="32"/>
          <w:szCs w:val="32"/>
        </w:rPr>
        <w:t>知晓</w:t>
      </w:r>
      <w:r>
        <w:rPr>
          <w:rFonts w:ascii="Times New Roman" w:eastAsia="仿宋_GB2312" w:hAnsi="Times New Roman" w:cs="宋体" w:hint="eastAsia"/>
          <w:color w:val="000000" w:themeColor="text1"/>
          <w:kern w:val="0"/>
          <w:sz w:val="32"/>
          <w:szCs w:val="32"/>
        </w:rPr>
        <w:t>其竞争性</w:t>
      </w:r>
      <w:r>
        <w:rPr>
          <w:rFonts w:ascii="Times New Roman" w:eastAsia="仿宋_GB2312" w:hAnsi="Times New Roman" w:cs="宋体"/>
          <w:color w:val="000000" w:themeColor="text1"/>
          <w:kern w:val="0"/>
          <w:sz w:val="32"/>
          <w:szCs w:val="32"/>
        </w:rPr>
        <w:t>敏感信息的人员</w:t>
      </w:r>
      <w:r>
        <w:rPr>
          <w:rFonts w:ascii="Times New Roman" w:eastAsia="仿宋_GB2312" w:hAnsi="Times New Roman" w:cs="宋体" w:hint="eastAsia"/>
          <w:color w:val="000000" w:themeColor="text1"/>
          <w:kern w:val="0"/>
          <w:sz w:val="32"/>
          <w:szCs w:val="32"/>
        </w:rPr>
        <w:t>；</w:t>
      </w:r>
    </w:p>
    <w:p w14:paraId="0DE26879"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lastRenderedPageBreak/>
        <w:t>（六）</w:t>
      </w:r>
      <w:r>
        <w:rPr>
          <w:rFonts w:ascii="Times New Roman" w:eastAsia="仿宋_GB2312" w:hAnsi="Times New Roman" w:cs="宋体"/>
          <w:color w:val="000000" w:themeColor="text1"/>
          <w:kern w:val="0"/>
          <w:sz w:val="32"/>
          <w:szCs w:val="32"/>
        </w:rPr>
        <w:t>负责企业并购项目的人员；</w:t>
      </w:r>
    </w:p>
    <w:p w14:paraId="41CEA3F4"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color w:val="000000" w:themeColor="text1"/>
          <w:kern w:val="0"/>
          <w:sz w:val="32"/>
          <w:szCs w:val="32"/>
        </w:rPr>
        <w:t>（</w:t>
      </w:r>
      <w:r>
        <w:rPr>
          <w:rFonts w:ascii="Times New Roman" w:eastAsia="仿宋_GB2312" w:hAnsi="Times New Roman" w:cs="宋体" w:hint="eastAsia"/>
          <w:color w:val="000000" w:themeColor="text1"/>
          <w:kern w:val="0"/>
          <w:sz w:val="32"/>
          <w:szCs w:val="32"/>
        </w:rPr>
        <w:t>七</w:t>
      </w:r>
      <w:r>
        <w:rPr>
          <w:rFonts w:ascii="Times New Roman" w:eastAsia="仿宋_GB2312" w:hAnsi="Times New Roman" w:cs="宋体"/>
          <w:color w:val="000000" w:themeColor="text1"/>
          <w:kern w:val="0"/>
          <w:sz w:val="32"/>
          <w:szCs w:val="32"/>
        </w:rPr>
        <w:t>）其他反垄断合规高风险人员。</w:t>
      </w:r>
    </w:p>
    <w:p w14:paraId="2F7491BF"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88" w:name="_Toc862656322"/>
      <w:bookmarkStart w:id="89" w:name="_Toc282290500"/>
      <w:bookmarkStart w:id="90" w:name="_Toc2124691987"/>
      <w:bookmarkStart w:id="91" w:name="_Toc841007529"/>
      <w:r>
        <w:rPr>
          <w:rFonts w:ascii="Times New Roman" w:eastAsia="黑体" w:hAnsi="Times New Roman" w:cs="黑体" w:hint="eastAsia"/>
          <w:color w:val="000000" w:themeColor="text1"/>
          <w:kern w:val="0"/>
          <w:sz w:val="32"/>
          <w:szCs w:val="32"/>
        </w:rPr>
        <w:t>第二十三条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事前</w:t>
      </w:r>
      <w:bookmarkEnd w:id="88"/>
      <w:bookmarkEnd w:id="89"/>
      <w:bookmarkEnd w:id="90"/>
      <w:r>
        <w:rPr>
          <w:rFonts w:ascii="Times New Roman" w:eastAsia="黑体" w:hAnsi="Times New Roman" w:cs="黑体" w:hint="eastAsia"/>
          <w:color w:val="000000" w:themeColor="text1"/>
          <w:kern w:val="0"/>
          <w:sz w:val="32"/>
          <w:szCs w:val="32"/>
        </w:rPr>
        <w:t>风险防控</w:t>
      </w:r>
      <w:bookmarkEnd w:id="91"/>
    </w:p>
    <w:p w14:paraId="26081884"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平台经营者可以在制定规则、设计算法</w:t>
      </w:r>
      <w:r>
        <w:rPr>
          <w:rFonts w:ascii="Times New Roman" w:eastAsia="仿宋_GB2312" w:hAnsi="Times New Roman" w:cs="宋体"/>
          <w:color w:val="000000" w:themeColor="text1"/>
          <w:kern w:val="0"/>
          <w:sz w:val="32"/>
          <w:szCs w:val="32"/>
        </w:rPr>
        <w:t>、签订协议、</w:t>
      </w:r>
      <w:r>
        <w:rPr>
          <w:rFonts w:ascii="Times New Roman" w:eastAsia="仿宋_GB2312" w:hAnsi="Times New Roman" w:cs="宋体" w:hint="eastAsia"/>
          <w:color w:val="000000" w:themeColor="text1"/>
          <w:kern w:val="0"/>
          <w:sz w:val="32"/>
          <w:szCs w:val="32"/>
        </w:rPr>
        <w:t>商业洽谈、</w:t>
      </w:r>
      <w:r>
        <w:rPr>
          <w:rFonts w:ascii="Times New Roman" w:eastAsia="仿宋_GB2312" w:hAnsi="Times New Roman" w:cs="宋体"/>
          <w:color w:val="000000" w:themeColor="text1"/>
          <w:kern w:val="0"/>
          <w:sz w:val="32"/>
          <w:szCs w:val="32"/>
        </w:rPr>
        <w:t>投资并购、</w:t>
      </w:r>
      <w:r>
        <w:rPr>
          <w:rFonts w:ascii="Times New Roman" w:eastAsia="仿宋_GB2312" w:hAnsi="Times New Roman" w:cs="宋体" w:hint="eastAsia"/>
          <w:color w:val="000000" w:themeColor="text1"/>
          <w:kern w:val="0"/>
          <w:sz w:val="32"/>
          <w:szCs w:val="32"/>
        </w:rPr>
        <w:t>调整业务模式、组织营销活动</w:t>
      </w:r>
      <w:r>
        <w:rPr>
          <w:rFonts w:ascii="Times New Roman" w:eastAsia="仿宋_GB2312" w:hAnsi="Times New Roman" w:cs="宋体"/>
          <w:color w:val="000000" w:themeColor="text1"/>
          <w:kern w:val="0"/>
          <w:sz w:val="32"/>
          <w:szCs w:val="32"/>
        </w:rPr>
        <w:t>等重</w:t>
      </w:r>
      <w:r>
        <w:rPr>
          <w:rFonts w:ascii="Times New Roman" w:eastAsia="仿宋_GB2312" w:hAnsi="Times New Roman" w:cs="宋体" w:hint="eastAsia"/>
          <w:color w:val="000000" w:themeColor="text1"/>
          <w:kern w:val="0"/>
          <w:sz w:val="32"/>
          <w:szCs w:val="32"/>
        </w:rPr>
        <w:t>要</w:t>
      </w:r>
      <w:r>
        <w:rPr>
          <w:rFonts w:ascii="Times New Roman" w:eastAsia="仿宋_GB2312" w:hAnsi="Times New Roman" w:cs="宋体"/>
          <w:color w:val="000000" w:themeColor="text1"/>
          <w:kern w:val="0"/>
          <w:sz w:val="32"/>
          <w:szCs w:val="32"/>
        </w:rPr>
        <w:t>事项</w:t>
      </w:r>
      <w:r>
        <w:rPr>
          <w:rFonts w:ascii="Times New Roman" w:eastAsia="仿宋_GB2312" w:hAnsi="Times New Roman" w:cs="宋体" w:hint="eastAsia"/>
          <w:color w:val="000000" w:themeColor="text1"/>
          <w:kern w:val="0"/>
          <w:sz w:val="32"/>
          <w:szCs w:val="32"/>
        </w:rPr>
        <w:t>前，对有关事项</w:t>
      </w:r>
      <w:r>
        <w:rPr>
          <w:rFonts w:ascii="Times New Roman" w:eastAsia="仿宋_GB2312" w:hAnsi="Times New Roman" w:cs="宋体"/>
          <w:color w:val="000000" w:themeColor="text1"/>
          <w:kern w:val="0"/>
          <w:sz w:val="32"/>
          <w:szCs w:val="32"/>
        </w:rPr>
        <w:t>进行</w:t>
      </w:r>
      <w:r>
        <w:rPr>
          <w:rFonts w:ascii="Times New Roman" w:eastAsia="仿宋_GB2312" w:hAnsi="Times New Roman" w:cs="宋体" w:hint="eastAsia"/>
          <w:color w:val="000000" w:themeColor="text1"/>
          <w:kern w:val="0"/>
          <w:sz w:val="32"/>
          <w:szCs w:val="32"/>
        </w:rPr>
        <w:t>反垄断风险识别评估</w:t>
      </w:r>
      <w:r>
        <w:rPr>
          <w:rFonts w:ascii="Times New Roman" w:eastAsia="仿宋_GB2312" w:hAnsi="Times New Roman" w:cs="宋体"/>
          <w:color w:val="000000" w:themeColor="text1"/>
          <w:kern w:val="0"/>
          <w:sz w:val="32"/>
          <w:szCs w:val="32"/>
        </w:rPr>
        <w:t>，</w:t>
      </w:r>
      <w:r>
        <w:rPr>
          <w:rFonts w:ascii="Times New Roman" w:eastAsia="仿宋_GB2312" w:hAnsi="Times New Roman" w:cs="宋体" w:hint="eastAsia"/>
          <w:color w:val="000000" w:themeColor="text1"/>
          <w:kern w:val="0"/>
          <w:sz w:val="32"/>
          <w:szCs w:val="32"/>
        </w:rPr>
        <w:t>并依据本指引第二十二条进行风险提醒。</w:t>
      </w:r>
    </w:p>
    <w:p w14:paraId="1FA14869"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92" w:name="_Toc788923662"/>
      <w:bookmarkStart w:id="93" w:name="_Toc1213440965"/>
      <w:bookmarkStart w:id="94" w:name="_Toc31982897"/>
      <w:bookmarkStart w:id="95" w:name="_Toc1615283180"/>
      <w:r>
        <w:rPr>
          <w:rFonts w:ascii="Times New Roman" w:eastAsia="黑体" w:hAnsi="Times New Roman" w:cs="黑体" w:hint="eastAsia"/>
          <w:color w:val="000000" w:themeColor="text1"/>
          <w:kern w:val="0"/>
          <w:sz w:val="32"/>
          <w:szCs w:val="32"/>
        </w:rPr>
        <w:t>第二十四条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事中</w:t>
      </w:r>
      <w:bookmarkEnd w:id="92"/>
      <w:bookmarkEnd w:id="93"/>
      <w:bookmarkEnd w:id="94"/>
      <w:r>
        <w:rPr>
          <w:rFonts w:ascii="Times New Roman" w:eastAsia="黑体" w:hAnsi="Times New Roman" w:cs="黑体" w:hint="eastAsia"/>
          <w:color w:val="000000" w:themeColor="text1"/>
          <w:kern w:val="0"/>
          <w:sz w:val="32"/>
          <w:szCs w:val="32"/>
        </w:rPr>
        <w:t>风险防控</w:t>
      </w:r>
      <w:bookmarkEnd w:id="95"/>
    </w:p>
    <w:p w14:paraId="0963B06D"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平台经营者在经营过程中要根据法律法规、行业情况、市场结构、业务布局等发生的变化，及时更新风险评估指标体系，重新评估反垄断合规风险，提出关于平台经营者风险防控工作的合规建议。</w:t>
      </w:r>
    </w:p>
    <w:p w14:paraId="5073F5A0"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96" w:name="_Toc1402704665"/>
      <w:bookmarkStart w:id="97" w:name="_Toc1463042681"/>
      <w:bookmarkStart w:id="98" w:name="_Toc1327104993"/>
      <w:bookmarkStart w:id="99" w:name="_Toc162142877"/>
      <w:r>
        <w:rPr>
          <w:rFonts w:ascii="Times New Roman" w:eastAsia="黑体" w:hAnsi="Times New Roman" w:cs="黑体" w:hint="eastAsia"/>
          <w:color w:val="000000" w:themeColor="text1"/>
          <w:kern w:val="0"/>
          <w:sz w:val="32"/>
          <w:szCs w:val="32"/>
        </w:rPr>
        <w:t>第二十五条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事后</w:t>
      </w:r>
      <w:bookmarkEnd w:id="96"/>
      <w:bookmarkEnd w:id="97"/>
      <w:bookmarkEnd w:id="98"/>
      <w:r>
        <w:rPr>
          <w:rFonts w:ascii="Times New Roman" w:eastAsia="黑体" w:hAnsi="Times New Roman" w:cs="黑体" w:hint="eastAsia"/>
          <w:color w:val="000000" w:themeColor="text1"/>
          <w:kern w:val="0"/>
          <w:sz w:val="32"/>
          <w:szCs w:val="32"/>
        </w:rPr>
        <w:t>风险防控</w:t>
      </w:r>
      <w:bookmarkEnd w:id="99"/>
    </w:p>
    <w:p w14:paraId="0BA2E587"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平台经营者可以在营销活动、投资交易、商贸合作等完成结束后对反垄断合规风险进行复盘，提出关于加强和改进自身风险防控工作的反馈意见，防范化解反垄断合规风险。</w:t>
      </w:r>
    </w:p>
    <w:p w14:paraId="034C1CD3"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100" w:name="_Toc876510145"/>
      <w:bookmarkStart w:id="101" w:name="_Toc438925061"/>
      <w:bookmarkStart w:id="102" w:name="_Toc701533383"/>
      <w:bookmarkStart w:id="103" w:name="_Toc919909212"/>
      <w:r>
        <w:rPr>
          <w:rFonts w:ascii="Times New Roman" w:eastAsia="黑体" w:hAnsi="Times New Roman" w:cs="黑体" w:hint="eastAsia"/>
          <w:color w:val="000000" w:themeColor="text1"/>
          <w:kern w:val="0"/>
          <w:sz w:val="32"/>
          <w:szCs w:val="32"/>
        </w:rPr>
        <w:t>第二十六条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平台规则审查</w:t>
      </w:r>
      <w:bookmarkEnd w:id="100"/>
    </w:p>
    <w:p w14:paraId="19FA87A6"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平台经营者可以重点对账户管理规则、终端用户政策、平台内经营者协议和管理办法、第三方服务商合作协议、流量分配规则、促销活动政策等平台规则进行全量审查，避免发生反垄断合规风险。</w:t>
      </w:r>
    </w:p>
    <w:p w14:paraId="3B32993D"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104" w:name="_Toc1567155816"/>
      <w:r>
        <w:rPr>
          <w:rFonts w:ascii="Times New Roman" w:eastAsia="黑体" w:hAnsi="Times New Roman" w:cs="黑体" w:hint="eastAsia"/>
          <w:color w:val="000000" w:themeColor="text1"/>
          <w:kern w:val="0"/>
          <w:sz w:val="32"/>
          <w:szCs w:val="32"/>
        </w:rPr>
        <w:t>第二十七条</w:t>
      </w:r>
      <w:r>
        <w:rPr>
          <w:rFonts w:ascii="Times New Roman" w:eastAsia="黑体" w:hAnsi="Times New Roman" w:cs="黑体" w:hint="eastAsia"/>
          <w:color w:val="000000" w:themeColor="text1"/>
          <w:kern w:val="0"/>
          <w:sz w:val="32"/>
          <w:szCs w:val="32"/>
        </w:rPr>
        <w:t xml:space="preserve">  </w:t>
      </w:r>
      <w:bookmarkEnd w:id="101"/>
      <w:bookmarkEnd w:id="102"/>
      <w:bookmarkEnd w:id="103"/>
      <w:r>
        <w:rPr>
          <w:rFonts w:ascii="Times New Roman" w:eastAsia="黑体" w:hAnsi="Times New Roman" w:cs="黑体" w:hint="eastAsia"/>
          <w:color w:val="000000" w:themeColor="text1"/>
          <w:kern w:val="0"/>
          <w:sz w:val="32"/>
          <w:szCs w:val="32"/>
        </w:rPr>
        <w:t>算法筛查</w:t>
      </w:r>
      <w:bookmarkEnd w:id="104"/>
    </w:p>
    <w:p w14:paraId="1F2D90E7"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可以对互联网平台内使用的各类计价算法、推荐系统、排序逻辑、广告投放策略等核心算法模型进行定向筛查和动态监测，重点关注是否存在歧视性设计、不公平交易导向、价格过度调整、统一定价推送等问题，避免发生反垄断合规风险。</w:t>
      </w:r>
    </w:p>
    <w:p w14:paraId="321CBC4B"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lastRenderedPageBreak/>
        <w:t>鼓励平台经营者通过技术手段与人工复核相结合的方式，确保算法逻辑透明可解释，避免算法黑箱破坏市场竞争秩序、损害消费者利益和社会公共利益。鼓励平台经营者建立算法迭代纠偏机制，发现风险后及时下线调整相关算法，并留存完整审计记录</w:t>
      </w:r>
      <w:r>
        <w:rPr>
          <w:rFonts w:ascii="Times New Roman" w:eastAsia="仿宋_GB2312" w:hAnsi="Times New Roman" w:cs="宋体"/>
          <w:color w:val="000000" w:themeColor="text1"/>
          <w:kern w:val="0"/>
          <w:sz w:val="32"/>
          <w:szCs w:val="32"/>
        </w:rPr>
        <w:t>。</w:t>
      </w:r>
    </w:p>
    <w:p w14:paraId="137062F0"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105" w:name="_Toc468098923"/>
      <w:bookmarkStart w:id="106" w:name="_Toc1724198717"/>
      <w:bookmarkStart w:id="107" w:name="_Toc1533184082"/>
      <w:bookmarkStart w:id="108" w:name="_Toc1096950638"/>
      <w:r>
        <w:rPr>
          <w:rFonts w:ascii="Times New Roman" w:eastAsia="黑体" w:hAnsi="Times New Roman" w:cs="黑体" w:hint="eastAsia"/>
          <w:color w:val="000000" w:themeColor="text1"/>
          <w:kern w:val="0"/>
          <w:sz w:val="32"/>
          <w:szCs w:val="32"/>
        </w:rPr>
        <w:t>第二十八条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配合调查</w:t>
      </w:r>
      <w:bookmarkEnd w:id="105"/>
      <w:bookmarkEnd w:id="106"/>
      <w:bookmarkEnd w:id="107"/>
      <w:bookmarkEnd w:id="108"/>
    </w:p>
    <w:p w14:paraId="599054EC"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w:t>
      </w:r>
      <w:r>
        <w:rPr>
          <w:rFonts w:ascii="Times New Roman" w:eastAsia="仿宋_GB2312" w:hAnsi="Times New Roman" w:cs="宋体"/>
          <w:color w:val="000000" w:themeColor="text1"/>
          <w:kern w:val="0"/>
          <w:sz w:val="32"/>
          <w:szCs w:val="32"/>
        </w:rPr>
        <w:t>及</w:t>
      </w:r>
      <w:r>
        <w:rPr>
          <w:rFonts w:ascii="Times New Roman" w:eastAsia="仿宋_GB2312" w:hAnsi="Times New Roman" w:cs="宋体" w:hint="eastAsia"/>
          <w:color w:val="000000" w:themeColor="text1"/>
          <w:kern w:val="0"/>
          <w:sz w:val="32"/>
          <w:szCs w:val="32"/>
        </w:rPr>
        <w:t>其</w:t>
      </w:r>
      <w:r>
        <w:rPr>
          <w:rFonts w:ascii="Times New Roman" w:eastAsia="仿宋_GB2312" w:hAnsi="Times New Roman" w:cs="宋体"/>
          <w:color w:val="000000" w:themeColor="text1"/>
          <w:kern w:val="0"/>
          <w:sz w:val="32"/>
          <w:szCs w:val="32"/>
        </w:rPr>
        <w:t>员工</w:t>
      </w:r>
      <w:r>
        <w:rPr>
          <w:rFonts w:ascii="Times New Roman" w:eastAsia="仿宋_GB2312" w:hAnsi="Times New Roman" w:cs="宋体" w:hint="eastAsia"/>
          <w:color w:val="000000" w:themeColor="text1"/>
          <w:kern w:val="0"/>
          <w:sz w:val="32"/>
          <w:szCs w:val="32"/>
        </w:rPr>
        <w:t>要</w:t>
      </w:r>
      <w:r>
        <w:rPr>
          <w:rFonts w:ascii="Times New Roman" w:eastAsia="仿宋_GB2312" w:hAnsi="Times New Roman" w:cs="宋体"/>
          <w:color w:val="000000" w:themeColor="text1"/>
          <w:kern w:val="0"/>
          <w:sz w:val="32"/>
          <w:szCs w:val="32"/>
        </w:rPr>
        <w:t>配合反垄断执法机构的调查，如实提供反垄断执法机构要求提交的证据材料，避免以下拒绝或者阻碍调查的行为：</w:t>
      </w:r>
    </w:p>
    <w:p w14:paraId="1116C35E"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color w:val="000000" w:themeColor="text1"/>
          <w:kern w:val="0"/>
          <w:sz w:val="32"/>
          <w:szCs w:val="32"/>
        </w:rPr>
        <w:t>（一）拒绝、阻碍执法人员进入经营场所；</w:t>
      </w:r>
    </w:p>
    <w:p w14:paraId="3151BAA0"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color w:val="000000" w:themeColor="text1"/>
          <w:kern w:val="0"/>
          <w:sz w:val="32"/>
          <w:szCs w:val="32"/>
        </w:rPr>
        <w:t>（二）拒绝提供相关文件资料、信息或者其获取权限；</w:t>
      </w:r>
    </w:p>
    <w:p w14:paraId="27715EEC"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color w:val="000000" w:themeColor="text1"/>
          <w:kern w:val="0"/>
          <w:sz w:val="32"/>
          <w:szCs w:val="32"/>
        </w:rPr>
        <w:t>（三）拒绝回答问题；</w:t>
      </w:r>
    </w:p>
    <w:p w14:paraId="4353528F"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color w:val="000000" w:themeColor="text1"/>
          <w:kern w:val="0"/>
          <w:sz w:val="32"/>
          <w:szCs w:val="32"/>
        </w:rPr>
        <w:t>（四）隐匿、销毁、转移证据；</w:t>
      </w:r>
    </w:p>
    <w:p w14:paraId="6E931515"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color w:val="000000" w:themeColor="text1"/>
          <w:kern w:val="0"/>
          <w:sz w:val="32"/>
          <w:szCs w:val="32"/>
        </w:rPr>
        <w:t>（五）提供误导性信息或者虚假信息；</w:t>
      </w:r>
    </w:p>
    <w:p w14:paraId="1B9CBE5E"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color w:val="000000" w:themeColor="text1"/>
          <w:kern w:val="0"/>
          <w:sz w:val="32"/>
          <w:szCs w:val="32"/>
        </w:rPr>
        <w:t>（六）其他拒绝、阻碍反垄断调查的行为。</w:t>
      </w:r>
    </w:p>
    <w:p w14:paraId="673FD9D0"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109" w:name="_Toc1161068157"/>
      <w:bookmarkStart w:id="110" w:name="_Toc946791537"/>
      <w:bookmarkStart w:id="111" w:name="_Toc998865721"/>
      <w:bookmarkStart w:id="112" w:name="_Toc502954716"/>
      <w:r>
        <w:rPr>
          <w:rFonts w:ascii="Times New Roman" w:eastAsia="黑体" w:hAnsi="Times New Roman" w:cs="黑体" w:hint="eastAsia"/>
          <w:color w:val="000000" w:themeColor="text1"/>
          <w:kern w:val="0"/>
          <w:sz w:val="32"/>
          <w:szCs w:val="32"/>
        </w:rPr>
        <w:t>第二十九条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合规整改</w:t>
      </w:r>
      <w:bookmarkEnd w:id="109"/>
      <w:bookmarkEnd w:id="110"/>
      <w:bookmarkEnd w:id="111"/>
      <w:bookmarkEnd w:id="112"/>
    </w:p>
    <w:p w14:paraId="1793ED36"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bookmarkStart w:id="113" w:name="_Toc1999460694"/>
      <w:bookmarkStart w:id="114" w:name="_Toc1874317810"/>
      <w:bookmarkStart w:id="115" w:name="_Toc1337485050"/>
      <w:r>
        <w:rPr>
          <w:rFonts w:ascii="Times New Roman" w:eastAsia="仿宋_GB2312" w:hAnsi="Times New Roman" w:cs="宋体" w:hint="eastAsia"/>
          <w:color w:val="000000" w:themeColor="text1"/>
          <w:kern w:val="0"/>
          <w:sz w:val="32"/>
          <w:szCs w:val="32"/>
        </w:rPr>
        <w:t>平台经营者按照反垄断“三书一函”要求进行整改的，要注意及时提交整改方案，有序推进整改工作，按时提交整改报告。平台经营者可以采取适当方式对整改效果进行评估，持续完善合规管理制度、改进合规管理体系。</w:t>
      </w:r>
    </w:p>
    <w:p w14:paraId="20FFF2A2"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平台经营者可以主动向社会公开整改措施和成效，接受监督。</w:t>
      </w:r>
    </w:p>
    <w:p w14:paraId="160BE54E"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r>
        <w:rPr>
          <w:rFonts w:ascii="Times New Roman" w:eastAsia="黑体" w:hAnsi="Times New Roman" w:cs="黑体" w:hint="eastAsia"/>
          <w:color w:val="000000" w:themeColor="text1"/>
          <w:kern w:val="0"/>
          <w:sz w:val="32"/>
          <w:szCs w:val="32"/>
        </w:rPr>
        <w:t>第三十条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合规激励</w:t>
      </w:r>
    </w:p>
    <w:p w14:paraId="61689A81"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平台经营者要建立完善的反垄断合规管理制度，并真实、有效实施。平台经营者遇到反垄断调查时，可以依据《经营者反垄断合规指南》规定，向反垄断执法机构申请合规激励。反垄断执法机构</w:t>
      </w:r>
      <w:r>
        <w:rPr>
          <w:rFonts w:ascii="Times New Roman" w:eastAsia="仿宋_GB2312" w:hAnsi="Times New Roman" w:cs="宋体" w:hint="eastAsia"/>
          <w:color w:val="000000" w:themeColor="text1"/>
          <w:kern w:val="0"/>
          <w:sz w:val="32"/>
          <w:szCs w:val="32"/>
        </w:rPr>
        <w:lastRenderedPageBreak/>
        <w:t>可以依法酌情考虑平台经营者反垄断合规制度的建设实施情况。</w:t>
      </w:r>
    </w:p>
    <w:p w14:paraId="04FC3769" w14:textId="77777777" w:rsidR="00057EA2" w:rsidRDefault="00057EA2">
      <w:pPr>
        <w:spacing w:after="0" w:line="550" w:lineRule="exact"/>
        <w:ind w:firstLineChars="0" w:firstLine="0"/>
        <w:jc w:val="center"/>
        <w:outlineLvl w:val="0"/>
        <w:rPr>
          <w:rFonts w:ascii="Times New Roman" w:eastAsia="黑体" w:hAnsi="Times New Roman" w:cs="黑体"/>
          <w:color w:val="000000" w:themeColor="text1"/>
          <w:kern w:val="0"/>
          <w:sz w:val="32"/>
          <w:szCs w:val="32"/>
        </w:rPr>
      </w:pPr>
      <w:bookmarkStart w:id="116" w:name="_Toc61754304"/>
      <w:bookmarkStart w:id="117" w:name="_Toc1656914507"/>
      <w:bookmarkStart w:id="118" w:name="_Toc132589663"/>
      <w:bookmarkStart w:id="119" w:name="_Toc401658400"/>
      <w:bookmarkEnd w:id="113"/>
      <w:bookmarkEnd w:id="114"/>
      <w:bookmarkEnd w:id="115"/>
    </w:p>
    <w:p w14:paraId="5AE663E0" w14:textId="77777777" w:rsidR="00057EA2" w:rsidRDefault="00000000">
      <w:pPr>
        <w:spacing w:after="0" w:line="550" w:lineRule="exact"/>
        <w:ind w:firstLineChars="0" w:firstLine="0"/>
        <w:jc w:val="center"/>
        <w:outlineLvl w:val="0"/>
        <w:rPr>
          <w:rFonts w:ascii="Times New Roman" w:eastAsia="黑体" w:hAnsi="Times New Roman" w:cs="黑体"/>
          <w:color w:val="000000" w:themeColor="text1"/>
          <w:kern w:val="0"/>
          <w:sz w:val="32"/>
          <w:szCs w:val="32"/>
        </w:rPr>
      </w:pPr>
      <w:r>
        <w:rPr>
          <w:rFonts w:ascii="Times New Roman" w:eastAsia="黑体" w:hAnsi="Times New Roman" w:cs="黑体" w:hint="eastAsia"/>
          <w:color w:val="000000" w:themeColor="text1"/>
          <w:kern w:val="0"/>
          <w:sz w:val="32"/>
          <w:szCs w:val="32"/>
        </w:rPr>
        <w:t>第四章</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合规保障</w:t>
      </w:r>
      <w:bookmarkEnd w:id="116"/>
      <w:bookmarkEnd w:id="117"/>
      <w:bookmarkEnd w:id="118"/>
      <w:r>
        <w:rPr>
          <w:rFonts w:ascii="Times New Roman" w:eastAsia="黑体" w:hAnsi="Times New Roman" w:cs="黑体" w:hint="eastAsia"/>
          <w:color w:val="000000" w:themeColor="text1"/>
          <w:kern w:val="0"/>
          <w:sz w:val="32"/>
          <w:szCs w:val="32"/>
        </w:rPr>
        <w:t>机制</w:t>
      </w:r>
      <w:bookmarkEnd w:id="119"/>
    </w:p>
    <w:p w14:paraId="53927312"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120" w:name="_Toc2106737081"/>
      <w:bookmarkStart w:id="121" w:name="_Toc1817319737"/>
      <w:bookmarkStart w:id="122" w:name="_Toc1472211641"/>
      <w:bookmarkStart w:id="123" w:name="_Toc1817548291"/>
      <w:r>
        <w:rPr>
          <w:rFonts w:ascii="Times New Roman" w:eastAsia="黑体" w:hAnsi="Times New Roman" w:cs="黑体" w:hint="eastAsia"/>
          <w:color w:val="000000" w:themeColor="text1"/>
          <w:kern w:val="0"/>
          <w:sz w:val="32"/>
          <w:szCs w:val="32"/>
        </w:rPr>
        <w:t>第三十一条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合规管理</w:t>
      </w:r>
      <w:bookmarkEnd w:id="120"/>
      <w:r>
        <w:rPr>
          <w:rFonts w:ascii="Times New Roman" w:eastAsia="黑体" w:hAnsi="Times New Roman" w:cs="黑体" w:hint="eastAsia"/>
          <w:color w:val="000000" w:themeColor="text1"/>
          <w:kern w:val="0"/>
          <w:sz w:val="32"/>
          <w:szCs w:val="32"/>
        </w:rPr>
        <w:t>机构</w:t>
      </w:r>
    </w:p>
    <w:p w14:paraId="34556C8E"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仿宋_GB2312" w:hint="eastAsia"/>
          <w:sz w:val="32"/>
          <w:szCs w:val="32"/>
        </w:rPr>
        <w:t>反垄断合规管理机构负责统筹、组织和推进反垄断合规管理工作，可以专设，也可以由有关部门承担相应职责</w:t>
      </w:r>
      <w:r>
        <w:rPr>
          <w:rFonts w:ascii="Times New Roman" w:eastAsia="仿宋_GB2312" w:hAnsi="Times New Roman" w:cs="宋体" w:hint="eastAsia"/>
          <w:color w:val="000000" w:themeColor="text1"/>
          <w:kern w:val="0"/>
          <w:sz w:val="32"/>
          <w:szCs w:val="32"/>
        </w:rPr>
        <w:t>。鼓励平台经营者为合规管理机构独立履职提供必要的资源，保障反垄断合规管理有效实施。</w:t>
      </w:r>
    </w:p>
    <w:p w14:paraId="4C325675"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平台经营者总部可以要求分公司、控股子公司等配合开展风险排查、举报调查、监督检查和问题整改等反垄断合规管理工作。</w:t>
      </w:r>
    </w:p>
    <w:p w14:paraId="422B9C4C"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124" w:name="_Toc609731013"/>
      <w:r>
        <w:rPr>
          <w:rFonts w:ascii="Times New Roman" w:eastAsia="黑体" w:hAnsi="Times New Roman" w:cs="黑体" w:hint="eastAsia"/>
          <w:color w:val="000000" w:themeColor="text1"/>
          <w:kern w:val="0"/>
          <w:sz w:val="32"/>
          <w:szCs w:val="32"/>
        </w:rPr>
        <w:t>第三十二条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合规汇报</w:t>
      </w:r>
      <w:bookmarkEnd w:id="124"/>
    </w:p>
    <w:p w14:paraId="1E17E8A0"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鼓励平台经营者建立反垄断合规汇报机制，由反垄断合规管理负责人听取合规管理牵头部门报告合规管理落实情况和合规风险，并定期向平台经营者主要负责人汇报反垄断合规管理情况，及时报告反垄断合规重大风险。合规管理牵头部门可以组织业务以及职能部门汇报本部门的反垄断合规工作情况和合规风险。</w:t>
      </w:r>
    </w:p>
    <w:p w14:paraId="164413E0"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鼓励平台经营者总部定期听取分公司、控股子公司等合规管理牵头部门汇报反垄断合规管理落实情况和重大风险，收集反垄断合规管理工作所需的资料和信息，及时掌握合规风险事项。</w:t>
      </w:r>
    </w:p>
    <w:p w14:paraId="4CBB325E"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125" w:name="_Toc1014685339"/>
      <w:r>
        <w:rPr>
          <w:rFonts w:ascii="Times New Roman" w:eastAsia="黑体" w:hAnsi="Times New Roman" w:cs="黑体" w:hint="eastAsia"/>
          <w:color w:val="000000" w:themeColor="text1"/>
          <w:kern w:val="0"/>
          <w:sz w:val="32"/>
          <w:szCs w:val="32"/>
        </w:rPr>
        <w:t>第三十三条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合规培训</w:t>
      </w:r>
      <w:bookmarkEnd w:id="121"/>
      <w:bookmarkEnd w:id="122"/>
      <w:bookmarkEnd w:id="123"/>
      <w:bookmarkEnd w:id="125"/>
    </w:p>
    <w:p w14:paraId="4488309E"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鼓励平台经营者投入</w:t>
      </w:r>
      <w:r>
        <w:rPr>
          <w:rFonts w:ascii="Times New Roman" w:eastAsia="仿宋_GB2312" w:hAnsi="Times New Roman" w:cs="宋体"/>
          <w:color w:val="000000" w:themeColor="text1"/>
          <w:kern w:val="0"/>
          <w:sz w:val="32"/>
          <w:szCs w:val="32"/>
        </w:rPr>
        <w:t>有效资源，建立反垄断合规培训机制</w:t>
      </w:r>
      <w:r>
        <w:rPr>
          <w:rFonts w:ascii="Times New Roman" w:eastAsia="仿宋_GB2312" w:hAnsi="Times New Roman" w:cs="宋体" w:hint="eastAsia"/>
          <w:color w:val="000000" w:themeColor="text1"/>
          <w:kern w:val="0"/>
          <w:sz w:val="32"/>
          <w:szCs w:val="32"/>
        </w:rPr>
        <w:t>，</w:t>
      </w:r>
      <w:r>
        <w:rPr>
          <w:rFonts w:ascii="Times New Roman" w:eastAsia="仿宋_GB2312" w:hAnsi="Times New Roman" w:cs="宋体"/>
          <w:color w:val="000000" w:themeColor="text1"/>
          <w:kern w:val="0"/>
          <w:sz w:val="32"/>
          <w:szCs w:val="32"/>
        </w:rPr>
        <w:t>将反垄断合规培训纳入员工培训计划和常态化合规培训机制</w:t>
      </w:r>
      <w:r>
        <w:rPr>
          <w:rFonts w:ascii="Times New Roman" w:eastAsia="仿宋_GB2312" w:hAnsi="Times New Roman" w:cs="宋体" w:hint="eastAsia"/>
          <w:color w:val="000000" w:themeColor="text1"/>
          <w:kern w:val="0"/>
          <w:sz w:val="32"/>
          <w:szCs w:val="32"/>
        </w:rPr>
        <w:t>，结合不同岗位的合规管理要求针对性地开展培训。</w:t>
      </w:r>
      <w:r>
        <w:rPr>
          <w:rFonts w:ascii="Times New Roman" w:eastAsia="仿宋_GB2312" w:hAnsi="Times New Roman" w:cs="宋体"/>
          <w:color w:val="000000" w:themeColor="text1"/>
          <w:kern w:val="0"/>
          <w:sz w:val="32"/>
          <w:szCs w:val="32"/>
        </w:rPr>
        <w:t>鼓励</w:t>
      </w:r>
      <w:r>
        <w:rPr>
          <w:rFonts w:ascii="Times New Roman" w:eastAsia="仿宋_GB2312" w:hAnsi="Times New Roman" w:cs="宋体" w:hint="eastAsia"/>
          <w:color w:val="000000" w:themeColor="text1"/>
          <w:kern w:val="0"/>
          <w:sz w:val="32"/>
          <w:szCs w:val="32"/>
        </w:rPr>
        <w:t>平台经营者</w:t>
      </w:r>
      <w:r>
        <w:rPr>
          <w:rFonts w:ascii="Times New Roman" w:eastAsia="仿宋_GB2312" w:hAnsi="Times New Roman" w:cs="宋体"/>
          <w:color w:val="000000" w:themeColor="text1"/>
          <w:kern w:val="0"/>
          <w:sz w:val="32"/>
          <w:szCs w:val="32"/>
        </w:rPr>
        <w:t>建立合规培训台账，结合反垄断法相关规定及时更新培训内容，定期评估</w:t>
      </w:r>
      <w:r>
        <w:rPr>
          <w:rFonts w:ascii="Times New Roman" w:eastAsia="仿宋_GB2312" w:hAnsi="Times New Roman" w:cs="宋体"/>
          <w:color w:val="000000" w:themeColor="text1"/>
          <w:kern w:val="0"/>
          <w:sz w:val="32"/>
          <w:szCs w:val="32"/>
        </w:rPr>
        <w:lastRenderedPageBreak/>
        <w:t>培训效果</w:t>
      </w:r>
      <w:r>
        <w:rPr>
          <w:rFonts w:ascii="Times New Roman" w:eastAsia="仿宋_GB2312" w:hAnsi="Times New Roman" w:cs="宋体" w:hint="eastAsia"/>
          <w:color w:val="000000" w:themeColor="text1"/>
          <w:kern w:val="0"/>
          <w:sz w:val="32"/>
          <w:szCs w:val="32"/>
        </w:rPr>
        <w:t>。</w:t>
      </w:r>
    </w:p>
    <w:p w14:paraId="37BDE987"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126" w:name="_Toc924410626"/>
      <w:bookmarkStart w:id="127" w:name="_Toc1337810367"/>
      <w:bookmarkStart w:id="128" w:name="_Toc1939205007"/>
      <w:bookmarkStart w:id="129" w:name="_Toc2145574258"/>
      <w:r>
        <w:rPr>
          <w:rFonts w:ascii="Times New Roman" w:eastAsia="黑体" w:hAnsi="Times New Roman" w:cs="黑体" w:hint="eastAsia"/>
          <w:color w:val="000000" w:themeColor="text1"/>
          <w:kern w:val="0"/>
          <w:sz w:val="32"/>
          <w:szCs w:val="32"/>
        </w:rPr>
        <w:t>第三十四条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合规考核</w:t>
      </w:r>
      <w:bookmarkEnd w:id="126"/>
      <w:bookmarkEnd w:id="127"/>
      <w:bookmarkEnd w:id="128"/>
      <w:bookmarkEnd w:id="129"/>
    </w:p>
    <w:p w14:paraId="0BB4A881"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鼓励平台经营者</w:t>
      </w:r>
      <w:r>
        <w:rPr>
          <w:rFonts w:ascii="Times New Roman" w:eastAsia="仿宋_GB2312" w:hAnsi="Times New Roman" w:cs="宋体"/>
          <w:color w:val="000000" w:themeColor="text1"/>
          <w:kern w:val="0"/>
          <w:sz w:val="32"/>
          <w:szCs w:val="32"/>
        </w:rPr>
        <w:t>建立健全反垄断合规</w:t>
      </w:r>
      <w:r>
        <w:rPr>
          <w:rFonts w:ascii="Times New Roman" w:eastAsia="仿宋_GB2312" w:hAnsi="Times New Roman" w:cs="宋体" w:hint="eastAsia"/>
          <w:color w:val="000000" w:themeColor="text1"/>
          <w:kern w:val="0"/>
          <w:sz w:val="32"/>
          <w:szCs w:val="32"/>
        </w:rPr>
        <w:t>人事</w:t>
      </w:r>
      <w:r>
        <w:rPr>
          <w:rFonts w:ascii="Times New Roman" w:eastAsia="仿宋_GB2312" w:hAnsi="Times New Roman" w:cs="宋体"/>
          <w:color w:val="000000" w:themeColor="text1"/>
          <w:kern w:val="0"/>
          <w:sz w:val="32"/>
          <w:szCs w:val="32"/>
        </w:rPr>
        <w:t>考核</w:t>
      </w:r>
      <w:r>
        <w:rPr>
          <w:rFonts w:ascii="Times New Roman" w:eastAsia="仿宋_GB2312" w:hAnsi="Times New Roman" w:cs="宋体" w:hint="eastAsia"/>
          <w:color w:val="000000" w:themeColor="text1"/>
          <w:kern w:val="0"/>
          <w:sz w:val="32"/>
          <w:szCs w:val="32"/>
        </w:rPr>
        <w:t>以</w:t>
      </w:r>
      <w:r>
        <w:rPr>
          <w:rFonts w:ascii="Times New Roman" w:eastAsia="仿宋_GB2312" w:hAnsi="Times New Roman" w:cs="宋体"/>
          <w:color w:val="000000" w:themeColor="text1"/>
          <w:kern w:val="0"/>
          <w:sz w:val="32"/>
          <w:szCs w:val="32"/>
        </w:rPr>
        <w:t>及奖惩机制，将考核结果作为员工及其所属部门绩效考核的重要依据，激励和督促员工自觉遵守反垄断合规管理要求</w:t>
      </w:r>
      <w:r>
        <w:rPr>
          <w:rFonts w:ascii="Times New Roman" w:eastAsia="仿宋_GB2312" w:hAnsi="Times New Roman" w:cs="宋体" w:hint="eastAsia"/>
          <w:color w:val="000000" w:themeColor="text1"/>
          <w:kern w:val="0"/>
          <w:sz w:val="32"/>
          <w:szCs w:val="32"/>
        </w:rPr>
        <w:t>。</w:t>
      </w:r>
      <w:r>
        <w:rPr>
          <w:rFonts w:ascii="Times New Roman" w:eastAsia="仿宋_GB2312" w:hAnsi="Times New Roman" w:cs="宋体"/>
          <w:color w:val="000000" w:themeColor="text1"/>
          <w:kern w:val="0"/>
          <w:sz w:val="32"/>
          <w:szCs w:val="32"/>
        </w:rPr>
        <w:t>对于</w:t>
      </w:r>
      <w:r>
        <w:rPr>
          <w:rFonts w:ascii="Times New Roman" w:eastAsia="仿宋_GB2312" w:hAnsi="Times New Roman" w:cs="宋体" w:hint="eastAsia"/>
          <w:color w:val="000000" w:themeColor="text1"/>
          <w:kern w:val="0"/>
          <w:sz w:val="32"/>
          <w:szCs w:val="32"/>
        </w:rPr>
        <w:t>考核</w:t>
      </w:r>
      <w:r>
        <w:rPr>
          <w:rFonts w:ascii="Times New Roman" w:eastAsia="仿宋_GB2312" w:hAnsi="Times New Roman" w:cs="宋体"/>
          <w:color w:val="000000" w:themeColor="text1"/>
          <w:kern w:val="0"/>
          <w:sz w:val="32"/>
          <w:szCs w:val="32"/>
        </w:rPr>
        <w:t>结果不合格</w:t>
      </w:r>
      <w:r>
        <w:rPr>
          <w:rFonts w:ascii="Times New Roman" w:eastAsia="仿宋_GB2312" w:hAnsi="Times New Roman" w:cs="宋体" w:hint="eastAsia"/>
          <w:color w:val="000000" w:themeColor="text1"/>
          <w:kern w:val="0"/>
          <w:sz w:val="32"/>
          <w:szCs w:val="32"/>
        </w:rPr>
        <w:t>、涉及投诉举报</w:t>
      </w:r>
      <w:r>
        <w:rPr>
          <w:rFonts w:ascii="Times New Roman" w:eastAsia="仿宋_GB2312" w:hAnsi="Times New Roman" w:cs="宋体"/>
          <w:color w:val="000000" w:themeColor="text1"/>
          <w:kern w:val="0"/>
          <w:sz w:val="32"/>
          <w:szCs w:val="32"/>
        </w:rPr>
        <w:t>的人员或</w:t>
      </w:r>
      <w:r>
        <w:rPr>
          <w:rFonts w:ascii="Times New Roman" w:eastAsia="仿宋_GB2312" w:hAnsi="Times New Roman" w:cs="宋体" w:hint="eastAsia"/>
          <w:color w:val="000000" w:themeColor="text1"/>
          <w:kern w:val="0"/>
          <w:sz w:val="32"/>
          <w:szCs w:val="32"/>
        </w:rPr>
        <w:t>者</w:t>
      </w:r>
      <w:r>
        <w:rPr>
          <w:rFonts w:ascii="Times New Roman" w:eastAsia="仿宋_GB2312" w:hAnsi="Times New Roman" w:cs="宋体"/>
          <w:color w:val="000000" w:themeColor="text1"/>
          <w:kern w:val="0"/>
          <w:sz w:val="32"/>
          <w:szCs w:val="32"/>
        </w:rPr>
        <w:t>部门，</w:t>
      </w:r>
      <w:r>
        <w:rPr>
          <w:rFonts w:ascii="Times New Roman" w:eastAsia="仿宋_GB2312" w:hAnsi="Times New Roman" w:cs="宋体" w:hint="eastAsia"/>
          <w:color w:val="000000" w:themeColor="text1"/>
          <w:kern w:val="0"/>
          <w:sz w:val="32"/>
          <w:szCs w:val="32"/>
        </w:rPr>
        <w:t>采取相应纠正整改措施</w:t>
      </w:r>
      <w:r>
        <w:rPr>
          <w:rFonts w:ascii="Times New Roman" w:eastAsia="仿宋_GB2312" w:hAnsi="Times New Roman" w:cs="宋体"/>
          <w:color w:val="000000" w:themeColor="text1"/>
          <w:kern w:val="0"/>
          <w:sz w:val="32"/>
          <w:szCs w:val="32"/>
        </w:rPr>
        <w:t>。</w:t>
      </w:r>
    </w:p>
    <w:p w14:paraId="2CB102C7" w14:textId="77777777" w:rsidR="00057EA2" w:rsidRDefault="00000000">
      <w:pPr>
        <w:spacing w:after="0" w:line="550" w:lineRule="exact"/>
        <w:ind w:firstLine="627"/>
        <w:rPr>
          <w:rFonts w:ascii="Times New Roman" w:eastAsia="黑体" w:hAnsi="Times New Roman" w:cs="黑体"/>
          <w:color w:val="000000" w:themeColor="text1"/>
          <w:kern w:val="0"/>
          <w:sz w:val="32"/>
          <w:szCs w:val="32"/>
        </w:rPr>
      </w:pPr>
      <w:bookmarkStart w:id="130" w:name="_Toc214425907"/>
      <w:bookmarkStart w:id="131" w:name="_Toc1164561047"/>
      <w:bookmarkStart w:id="132" w:name="_Toc1338664603"/>
      <w:r>
        <w:rPr>
          <w:rFonts w:ascii="Times New Roman" w:eastAsia="仿宋_GB2312" w:hAnsi="Times New Roman" w:cs="宋体" w:hint="eastAsia"/>
          <w:color w:val="000000" w:themeColor="text1"/>
          <w:kern w:val="0"/>
          <w:sz w:val="32"/>
          <w:szCs w:val="32"/>
        </w:rPr>
        <w:t>平台经营者总部可以对分公司、控股子公司等反垄断合规管理工作进行考评和指导。</w:t>
      </w:r>
      <w:bookmarkStart w:id="133" w:name="_Toc9454380"/>
    </w:p>
    <w:p w14:paraId="1DC462B0"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r>
        <w:rPr>
          <w:rFonts w:ascii="Times New Roman" w:eastAsia="黑体" w:hAnsi="Times New Roman" w:cs="黑体" w:hint="eastAsia"/>
          <w:color w:val="000000" w:themeColor="text1"/>
          <w:kern w:val="0"/>
          <w:sz w:val="32"/>
          <w:szCs w:val="32"/>
        </w:rPr>
        <w:t>第三十五条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合规监督</w:t>
      </w:r>
    </w:p>
    <w:p w14:paraId="120ABDFA"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鼓励平台经营者建立反垄断合规举报处理和反馈机制，积极响应员工、平台内经营者、消费者、从业人员等的反垄断合规投诉和举报，并组织开展核查。</w:t>
      </w:r>
    </w:p>
    <w:p w14:paraId="4126D099"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鼓励平台经营者建立平台内经营者、消费者、从业人员等平台用户以及独立第三方等的外部评价机制，自觉接受社会监督，不断完善平台治理规则。</w:t>
      </w:r>
    </w:p>
    <w:p w14:paraId="091D60F1"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r>
        <w:rPr>
          <w:rFonts w:ascii="Times New Roman" w:eastAsia="黑体" w:hAnsi="Times New Roman" w:cs="黑体" w:hint="eastAsia"/>
          <w:color w:val="000000" w:themeColor="text1"/>
          <w:kern w:val="0"/>
          <w:sz w:val="32"/>
          <w:szCs w:val="32"/>
        </w:rPr>
        <w:t>第三十六条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合规管理信息化</w:t>
      </w:r>
      <w:bookmarkEnd w:id="130"/>
      <w:bookmarkEnd w:id="131"/>
      <w:bookmarkEnd w:id="132"/>
      <w:bookmarkEnd w:id="133"/>
    </w:p>
    <w:p w14:paraId="471CAB7B"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鼓励平台经营者加强合规管理信息化建设，</w:t>
      </w:r>
      <w:r>
        <w:rPr>
          <w:rFonts w:ascii="Times New Roman" w:eastAsia="仿宋_GB2312" w:hAnsi="Times New Roman" w:cs="宋体"/>
          <w:color w:val="000000" w:themeColor="text1"/>
          <w:kern w:val="0"/>
          <w:sz w:val="32"/>
          <w:szCs w:val="32"/>
        </w:rPr>
        <w:t>将合规要求和风险防控机制嵌入业务</w:t>
      </w:r>
      <w:r>
        <w:rPr>
          <w:rFonts w:ascii="Times New Roman" w:eastAsia="仿宋_GB2312" w:hAnsi="Times New Roman" w:cs="宋体" w:hint="eastAsia"/>
          <w:color w:val="000000" w:themeColor="text1"/>
          <w:kern w:val="0"/>
          <w:sz w:val="32"/>
          <w:szCs w:val="32"/>
        </w:rPr>
        <w:t>信息化</w:t>
      </w:r>
      <w:r>
        <w:rPr>
          <w:rFonts w:ascii="Times New Roman" w:eastAsia="仿宋_GB2312" w:hAnsi="Times New Roman" w:cs="宋体"/>
          <w:color w:val="000000" w:themeColor="text1"/>
          <w:kern w:val="0"/>
          <w:sz w:val="32"/>
          <w:szCs w:val="32"/>
        </w:rPr>
        <w:t>流程，</w:t>
      </w:r>
      <w:r>
        <w:rPr>
          <w:rFonts w:ascii="Times New Roman" w:eastAsia="仿宋_GB2312" w:hAnsi="Times New Roman" w:cs="宋体" w:hint="eastAsia"/>
          <w:color w:val="000000" w:themeColor="text1"/>
          <w:kern w:val="0"/>
          <w:sz w:val="32"/>
          <w:szCs w:val="32"/>
        </w:rPr>
        <w:t>支持</w:t>
      </w:r>
      <w:r>
        <w:rPr>
          <w:rFonts w:ascii="Times New Roman" w:eastAsia="仿宋_GB2312" w:hAnsi="Times New Roman" w:cs="仿宋_GB2312" w:hint="eastAsia"/>
          <w:sz w:val="32"/>
          <w:szCs w:val="32"/>
        </w:rPr>
        <w:t>业务以及职能部门对本部门日常工作开展信息化合规管理</w:t>
      </w:r>
      <w:r>
        <w:rPr>
          <w:rFonts w:ascii="Times New Roman" w:eastAsia="仿宋_GB2312" w:hAnsi="Times New Roman" w:cs="宋体" w:hint="eastAsia"/>
          <w:color w:val="000000" w:themeColor="text1"/>
          <w:kern w:val="0"/>
          <w:sz w:val="32"/>
          <w:szCs w:val="32"/>
        </w:rPr>
        <w:t>，</w:t>
      </w:r>
      <w:r>
        <w:rPr>
          <w:rFonts w:ascii="Times New Roman" w:eastAsia="仿宋_GB2312" w:hAnsi="Times New Roman" w:cs="宋体"/>
          <w:color w:val="000000" w:themeColor="text1"/>
          <w:kern w:val="0"/>
          <w:sz w:val="32"/>
          <w:szCs w:val="32"/>
        </w:rPr>
        <w:t>强化对经营管理行为合规情况的过程管控和运行分析</w:t>
      </w:r>
      <w:r>
        <w:rPr>
          <w:rFonts w:ascii="Times New Roman" w:eastAsia="仿宋_GB2312" w:hAnsi="Times New Roman" w:cs="宋体" w:hint="eastAsia"/>
          <w:color w:val="000000" w:themeColor="text1"/>
          <w:kern w:val="0"/>
          <w:sz w:val="32"/>
          <w:szCs w:val="32"/>
        </w:rPr>
        <w:t>，</w:t>
      </w:r>
      <w:r>
        <w:rPr>
          <w:rFonts w:ascii="Times New Roman" w:eastAsia="仿宋_GB2312" w:hAnsi="Times New Roman" w:cs="宋体"/>
          <w:color w:val="000000" w:themeColor="text1"/>
          <w:kern w:val="0"/>
          <w:sz w:val="32"/>
          <w:szCs w:val="32"/>
        </w:rPr>
        <w:t>记录和保存相关信息</w:t>
      </w:r>
      <w:r>
        <w:rPr>
          <w:rFonts w:ascii="Times New Roman" w:eastAsia="仿宋_GB2312" w:hAnsi="Times New Roman" w:cs="宋体" w:hint="eastAsia"/>
          <w:color w:val="000000" w:themeColor="text1"/>
          <w:kern w:val="0"/>
          <w:sz w:val="32"/>
          <w:szCs w:val="32"/>
        </w:rPr>
        <w:t>，提高合规工作效率</w:t>
      </w:r>
      <w:r>
        <w:rPr>
          <w:rFonts w:ascii="Times New Roman" w:eastAsia="仿宋_GB2312" w:hAnsi="Times New Roman" w:cs="宋体"/>
          <w:color w:val="000000" w:themeColor="text1"/>
          <w:kern w:val="0"/>
          <w:sz w:val="32"/>
          <w:szCs w:val="32"/>
        </w:rPr>
        <w:t>。</w:t>
      </w:r>
    </w:p>
    <w:p w14:paraId="31EB74C9" w14:textId="77777777" w:rsidR="00057EA2" w:rsidRDefault="00057EA2">
      <w:pPr>
        <w:spacing w:after="0" w:line="550" w:lineRule="exact"/>
        <w:ind w:firstLineChars="0" w:firstLine="0"/>
        <w:jc w:val="center"/>
        <w:outlineLvl w:val="0"/>
        <w:rPr>
          <w:rFonts w:ascii="Times New Roman" w:eastAsia="黑体" w:hAnsi="Times New Roman" w:cs="黑体"/>
          <w:color w:val="000000" w:themeColor="text1"/>
          <w:kern w:val="0"/>
          <w:sz w:val="32"/>
          <w:szCs w:val="32"/>
        </w:rPr>
      </w:pPr>
      <w:bookmarkStart w:id="134" w:name="_Toc1710627154"/>
      <w:bookmarkStart w:id="135" w:name="_Toc1832171119"/>
      <w:bookmarkStart w:id="136" w:name="_Toc1446063823"/>
      <w:bookmarkStart w:id="137" w:name="_Toc1173982498"/>
    </w:p>
    <w:p w14:paraId="30EC1A76" w14:textId="77777777" w:rsidR="00057EA2" w:rsidRDefault="00000000">
      <w:pPr>
        <w:spacing w:after="0" w:line="550" w:lineRule="exact"/>
        <w:ind w:firstLineChars="0" w:firstLine="0"/>
        <w:jc w:val="center"/>
        <w:outlineLvl w:val="0"/>
        <w:rPr>
          <w:rFonts w:ascii="Times New Roman" w:eastAsia="黑体" w:hAnsi="Times New Roman" w:cs="黑体"/>
          <w:color w:val="000000" w:themeColor="text1"/>
          <w:kern w:val="0"/>
          <w:sz w:val="32"/>
          <w:szCs w:val="32"/>
        </w:rPr>
      </w:pPr>
      <w:r>
        <w:rPr>
          <w:rFonts w:ascii="Times New Roman" w:eastAsia="黑体" w:hAnsi="Times New Roman" w:cs="黑体" w:hint="eastAsia"/>
          <w:color w:val="000000" w:themeColor="text1"/>
          <w:kern w:val="0"/>
          <w:sz w:val="32"/>
          <w:szCs w:val="32"/>
        </w:rPr>
        <w:t>第五章</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附则</w:t>
      </w:r>
      <w:bookmarkEnd w:id="134"/>
      <w:bookmarkEnd w:id="135"/>
      <w:bookmarkEnd w:id="136"/>
      <w:bookmarkEnd w:id="137"/>
    </w:p>
    <w:p w14:paraId="6CBFF9BB"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138" w:name="_Toc51834436"/>
      <w:bookmarkStart w:id="139" w:name="_Toc308383068"/>
      <w:bookmarkStart w:id="140" w:name="_Toc316268123"/>
      <w:bookmarkStart w:id="141" w:name="_Toc1618942234"/>
      <w:r>
        <w:rPr>
          <w:rFonts w:ascii="Times New Roman" w:eastAsia="黑体" w:hAnsi="Times New Roman" w:cs="黑体" w:hint="eastAsia"/>
          <w:color w:val="000000" w:themeColor="text1"/>
          <w:kern w:val="0"/>
          <w:sz w:val="32"/>
          <w:szCs w:val="32"/>
        </w:rPr>
        <w:t>第三十七条</w:t>
      </w:r>
      <w:r>
        <w:rPr>
          <w:rFonts w:ascii="Times New Roman" w:eastAsia="黑体" w:hAnsi="Times New Roman" w:cs="黑体" w:hint="eastAsia"/>
          <w:color w:val="000000" w:themeColor="text1"/>
          <w:kern w:val="0"/>
          <w:sz w:val="32"/>
          <w:szCs w:val="32"/>
        </w:rPr>
        <w:t xml:space="preserve">  </w:t>
      </w:r>
      <w:r>
        <w:rPr>
          <w:rFonts w:ascii="Times New Roman" w:eastAsia="黑体" w:hAnsi="Times New Roman" w:cs="黑体" w:hint="eastAsia"/>
          <w:color w:val="000000" w:themeColor="text1"/>
          <w:kern w:val="0"/>
          <w:sz w:val="32"/>
          <w:szCs w:val="32"/>
        </w:rPr>
        <w:t>指引的效力</w:t>
      </w:r>
      <w:bookmarkEnd w:id="138"/>
      <w:bookmarkEnd w:id="139"/>
      <w:bookmarkEnd w:id="140"/>
      <w:bookmarkEnd w:id="141"/>
    </w:p>
    <w:p w14:paraId="1BDC651C"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hint="eastAsia"/>
          <w:color w:val="000000" w:themeColor="text1"/>
          <w:sz w:val="32"/>
          <w:szCs w:val="32"/>
        </w:rPr>
        <w:t>本指引是关于互联网平台的专项反垄断合规指引，旨在对平台</w:t>
      </w:r>
      <w:r>
        <w:rPr>
          <w:rFonts w:ascii="Times New Roman" w:eastAsia="仿宋_GB2312" w:hAnsi="Times New Roman" w:hint="eastAsia"/>
          <w:color w:val="000000" w:themeColor="text1"/>
          <w:sz w:val="32"/>
          <w:szCs w:val="32"/>
        </w:rPr>
        <w:lastRenderedPageBreak/>
        <w:t>经营者反垄断合规提供一般性指引，不具有强制性。</w:t>
      </w:r>
    </w:p>
    <w:p w14:paraId="711FA57B" w14:textId="77777777" w:rsidR="00057EA2" w:rsidRDefault="00000000">
      <w:pPr>
        <w:spacing w:after="0" w:line="550" w:lineRule="exact"/>
        <w:ind w:firstLine="627"/>
        <w:rPr>
          <w:rFonts w:ascii="Times New Roman" w:eastAsia="仿宋_GB2312" w:hAnsi="Times New Roman" w:cs="宋体"/>
          <w:color w:val="000000" w:themeColor="text1"/>
          <w:kern w:val="0"/>
          <w:sz w:val="32"/>
          <w:szCs w:val="32"/>
        </w:rPr>
      </w:pPr>
      <w:r>
        <w:rPr>
          <w:rFonts w:ascii="Times New Roman" w:eastAsia="仿宋_GB2312" w:hAnsi="Times New Roman" w:cs="宋体" w:hint="eastAsia"/>
          <w:color w:val="000000" w:themeColor="text1"/>
          <w:kern w:val="0"/>
          <w:sz w:val="32"/>
          <w:szCs w:val="32"/>
        </w:rPr>
        <w:t>平台经营者、有关行业协会可以参考本指引，根据反垄断法律法规规章指南等的规定，结合自身特点，建立健全反垄断合规制度，优化合规工作体系。</w:t>
      </w:r>
    </w:p>
    <w:p w14:paraId="661C565E" w14:textId="77777777" w:rsidR="00057EA2" w:rsidRDefault="00000000">
      <w:pPr>
        <w:spacing w:after="0" w:line="550" w:lineRule="exact"/>
        <w:ind w:firstLine="627"/>
        <w:outlineLvl w:val="1"/>
        <w:rPr>
          <w:rFonts w:ascii="Times New Roman" w:eastAsia="黑体" w:hAnsi="Times New Roman" w:cs="黑体"/>
          <w:color w:val="000000" w:themeColor="text1"/>
          <w:kern w:val="0"/>
          <w:sz w:val="32"/>
          <w:szCs w:val="32"/>
        </w:rPr>
      </w:pPr>
      <w:bookmarkStart w:id="142" w:name="_Toc1918195235"/>
      <w:bookmarkStart w:id="143" w:name="_Toc1898512042"/>
      <w:bookmarkStart w:id="144" w:name="_Toc345369841"/>
      <w:bookmarkStart w:id="145" w:name="_Toc1516967194"/>
      <w:r>
        <w:rPr>
          <w:rFonts w:ascii="Times New Roman" w:eastAsia="黑体" w:hAnsi="Times New Roman" w:cs="黑体" w:hint="eastAsia"/>
          <w:color w:val="000000" w:themeColor="text1"/>
          <w:kern w:val="0"/>
          <w:sz w:val="32"/>
          <w:szCs w:val="32"/>
        </w:rPr>
        <w:t>第三十八条</w:t>
      </w:r>
      <w:r>
        <w:rPr>
          <w:rFonts w:ascii="Times New Roman" w:eastAsia="黑体" w:hAnsi="Times New Roman" w:cs="黑体" w:hint="eastAsia"/>
          <w:color w:val="000000" w:themeColor="text1"/>
          <w:kern w:val="0"/>
          <w:sz w:val="32"/>
          <w:szCs w:val="32"/>
        </w:rPr>
        <w:t xml:space="preserve">  </w:t>
      </w:r>
      <w:bookmarkEnd w:id="142"/>
      <w:bookmarkEnd w:id="143"/>
      <w:bookmarkEnd w:id="144"/>
      <w:r>
        <w:rPr>
          <w:rFonts w:ascii="Times New Roman" w:eastAsia="黑体" w:hAnsi="Times New Roman" w:cs="黑体" w:hint="eastAsia"/>
          <w:color w:val="000000" w:themeColor="text1"/>
          <w:kern w:val="0"/>
          <w:sz w:val="32"/>
          <w:szCs w:val="32"/>
        </w:rPr>
        <w:t>指引的解释</w:t>
      </w:r>
      <w:bookmarkEnd w:id="145"/>
    </w:p>
    <w:p w14:paraId="682A498F" w14:textId="77777777" w:rsidR="00057EA2" w:rsidRDefault="00000000">
      <w:pPr>
        <w:spacing w:after="0" w:line="550" w:lineRule="exact"/>
        <w:ind w:firstLine="627"/>
        <w:rPr>
          <w:rFonts w:ascii="Times New Roman" w:eastAsia="仿宋_GB2312" w:hAnsi="Times New Roman" w:cs="仿宋_GB2312"/>
          <w:color w:val="000000" w:themeColor="text1"/>
          <w:kern w:val="0"/>
          <w:sz w:val="32"/>
          <w:szCs w:val="32"/>
        </w:rPr>
      </w:pPr>
      <w:r>
        <w:rPr>
          <w:rFonts w:ascii="Times New Roman" w:eastAsia="仿宋_GB2312" w:hAnsi="Times New Roman" w:cs="宋体" w:hint="eastAsia"/>
          <w:color w:val="000000" w:themeColor="text1"/>
          <w:kern w:val="0"/>
          <w:sz w:val="32"/>
          <w:szCs w:val="32"/>
        </w:rPr>
        <w:t>本指引由市场监管总局负责解释。</w:t>
      </w:r>
    </w:p>
    <w:sectPr w:rsidR="00057EA2">
      <w:headerReference w:type="default" r:id="rId7"/>
      <w:footerReference w:type="even" r:id="rId8"/>
      <w:footerReference w:type="default" r:id="rId9"/>
      <w:pgSz w:w="11906" w:h="16838"/>
      <w:pgMar w:top="1984" w:right="1474" w:bottom="1644" w:left="1474" w:header="851" w:footer="1191" w:gutter="0"/>
      <w:cols w:space="0"/>
      <w:docGrid w:type="linesAndChars" w:linePitch="287" w:charSpace="-1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F082C" w14:textId="77777777" w:rsidR="008E1389" w:rsidRDefault="008E1389">
      <w:pPr>
        <w:spacing w:line="240" w:lineRule="auto"/>
        <w:ind w:firstLine="420"/>
        <w:rPr>
          <w:rFonts w:hint="eastAsia"/>
        </w:rPr>
      </w:pPr>
      <w:r>
        <w:separator/>
      </w:r>
    </w:p>
  </w:endnote>
  <w:endnote w:type="continuationSeparator" w:id="0">
    <w:p w14:paraId="41F75980" w14:textId="77777777" w:rsidR="008E1389" w:rsidRDefault="008E1389">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Times New Roman (正文 CS 字体)">
    <w:altName w:val="宋体"/>
    <w:charset w:val="86"/>
    <w:family w:val="roman"/>
    <w:pitch w:val="default"/>
  </w:font>
  <w:font w:name="黑体">
    <w:altName w:val="SimHei"/>
    <w:panose1 w:val="02010609060101010101"/>
    <w:charset w:val="86"/>
    <w:family w:val="modern"/>
    <w:pitch w:val="fixed"/>
    <w:sig w:usb0="800002BF" w:usb1="38CF7CFA" w:usb2="00000016" w:usb3="00000000" w:csb0="00040001" w:csb1="00000000"/>
  </w:font>
  <w:font w:name="微软雅黑">
    <w:altName w:val="黑体"/>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方正小标宋">
    <w:altName w:val="方正小标宋简体"/>
    <w:charset w:val="00"/>
    <w:family w:val="auto"/>
    <w:pitch w:val="default"/>
  </w:font>
  <w:font w:name="SimSun-ExtB">
    <w:altName w:val="Noto Serif CJK JP SemiBold"/>
    <w:panose1 w:val="02010609060101010101"/>
    <w:charset w:val="86"/>
    <w:family w:val="modern"/>
    <w:pitch w:val="fixed"/>
    <w:sig w:usb0="00000003" w:usb1="0A0E0000" w:usb2="00000010" w:usb3="00000000" w:csb0="00040001" w:csb1="00000000"/>
  </w:font>
  <w:font w:name="方正小标宋_GBK">
    <w:altName w:val="微软雅黑"/>
    <w:charset w:val="86"/>
    <w:family w:val="script"/>
    <w:pitch w:val="default"/>
    <w:sig w:usb0="00000001" w:usb1="08000000" w:usb2="00000000" w:usb3="00000000" w:csb0="00040000" w:csb1="00000000"/>
  </w:font>
  <w:font w:name="方正楷体_GBK">
    <w:altName w:val="微软雅黑"/>
    <w:charset w:val="86"/>
    <w:family w:val="auto"/>
    <w:pitch w:val="default"/>
    <w:sig w:usb0="00000001" w:usb1="080E0000" w:usb2="00000000" w:usb3="00000000" w:csb0="00040000" w:csb1="00000000"/>
  </w:font>
  <w:font w:name="楷体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A403B" w14:textId="77777777" w:rsidR="00057EA2" w:rsidRDefault="00000000">
    <w:pPr>
      <w:pStyle w:val="a8"/>
      <w:adjustRightInd w:val="0"/>
      <w:spacing w:line="260" w:lineRule="exact"/>
      <w:ind w:leftChars="150" w:left="315" w:rightChars="150" w:right="315" w:firstLine="360"/>
      <w:rPr>
        <w:rFonts w:hint="eastAsia"/>
      </w:rPr>
    </w:pPr>
    <w:r>
      <w:rPr>
        <w:noProof/>
      </w:rPr>
      <mc:AlternateContent>
        <mc:Choice Requires="wps">
          <w:drawing>
            <wp:anchor distT="0" distB="0" distL="114300" distR="114300" simplePos="0" relativeHeight="251662336" behindDoc="0" locked="0" layoutInCell="1" allowOverlap="1" wp14:anchorId="59D2B0A8" wp14:editId="02CFF753">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B816BC" w14:textId="77777777" w:rsidR="00057EA2" w:rsidRDefault="00000000">
                          <w:pPr>
                            <w:pStyle w:val="a8"/>
                            <w:ind w:firstLine="360"/>
                            <w:rPr>
                              <w:rFonts w:hint="eastAsia"/>
                            </w:rPr>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9D2B0A8" id="_x0000_t202" coordsize="21600,21600" o:spt="202" path="m,l,21600r21600,l21600,xe">
              <v:stroke joinstyle="miter"/>
              <v:path gradientshapeok="t" o:connecttype="rect"/>
            </v:shapetype>
            <v:shape id="文本框 4" o:spid="_x0000_s1026"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8B816BC" w14:textId="77777777" w:rsidR="00057EA2" w:rsidRDefault="00000000">
                    <w:pPr>
                      <w:pStyle w:val="a8"/>
                      <w:ind w:firstLine="360"/>
                      <w:rPr>
                        <w:rFonts w:hint="eastAsia"/>
                      </w:rPr>
                    </w:pPr>
                    <w:r>
                      <w:t xml:space="preserve">— </w:t>
                    </w:r>
                    <w:r>
                      <w:fldChar w:fldCharType="begin"/>
                    </w:r>
                    <w:r>
                      <w:instrText xml:space="preserve"> PAGE  \* MERGEFORMAT </w:instrText>
                    </w:r>
                    <w:r>
                      <w:fldChar w:fldCharType="separate"/>
                    </w:r>
                    <w:r>
                      <w:t>2</w:t>
                    </w:r>
                    <w:r>
                      <w:fldChar w:fldCharType="end"/>
                    </w:r>
                    <w:r>
                      <w:t xml:space="preserve"> —</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7F4FD9E7" wp14:editId="35678050">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3AAD7" w14:textId="77777777" w:rsidR="00057EA2" w:rsidRDefault="00057EA2">
                          <w:pPr>
                            <w:pStyle w:val="a8"/>
                            <w:adjustRightInd w:val="0"/>
                            <w:spacing w:line="260" w:lineRule="exact"/>
                            <w:ind w:leftChars="150" w:left="315" w:rightChars="150" w:right="315" w:firstLine="360"/>
                            <w:rPr>
                              <w:rFonts w:hint="eastAsia"/>
                            </w:rPr>
                          </w:pPr>
                        </w:p>
                        <w:p w14:paraId="64DDB4C6" w14:textId="77777777" w:rsidR="00057EA2" w:rsidRDefault="00057EA2">
                          <w:pPr>
                            <w:ind w:firstLine="420"/>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7F4FD9E7" id="文本框 2"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1FA3AAD7" w14:textId="77777777" w:rsidR="00057EA2" w:rsidRDefault="00057EA2">
                    <w:pPr>
                      <w:pStyle w:val="a8"/>
                      <w:adjustRightInd w:val="0"/>
                      <w:spacing w:line="260" w:lineRule="exact"/>
                      <w:ind w:leftChars="150" w:left="315" w:rightChars="150" w:right="315" w:firstLine="360"/>
                      <w:rPr>
                        <w:rFonts w:hint="eastAsia"/>
                      </w:rPr>
                    </w:pPr>
                  </w:p>
                  <w:p w14:paraId="64DDB4C6" w14:textId="77777777" w:rsidR="00057EA2" w:rsidRDefault="00057EA2">
                    <w:pPr>
                      <w:ind w:firstLine="420"/>
                      <w:rPr>
                        <w:rFonts w:hint="eastAsia"/>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5FC7" w14:textId="77777777" w:rsidR="00057EA2" w:rsidRDefault="00000000">
    <w:pPr>
      <w:pStyle w:val="a8"/>
      <w:adjustRightInd w:val="0"/>
      <w:spacing w:line="260" w:lineRule="exact"/>
      <w:ind w:leftChars="150" w:left="315" w:rightChars="150" w:right="315" w:firstLine="560"/>
      <w:rPr>
        <w:rFonts w:asciiTheme="minorEastAsia" w:hAnsiTheme="minorEastAsia" w:cstheme="minorEastAsia" w:hint="eastAsia"/>
        <w:sz w:val="28"/>
        <w:szCs w:val="28"/>
      </w:rPr>
    </w:pPr>
    <w:r>
      <w:rPr>
        <w:noProof/>
        <w:sz w:val="28"/>
      </w:rPr>
      <mc:AlternateContent>
        <mc:Choice Requires="wps">
          <w:drawing>
            <wp:anchor distT="0" distB="0" distL="114300" distR="114300" simplePos="0" relativeHeight="251661312" behindDoc="0" locked="0" layoutInCell="1" allowOverlap="1" wp14:anchorId="5EB23E2C" wp14:editId="77081844">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F17264" w14:textId="77777777" w:rsidR="00057EA2" w:rsidRDefault="00000000">
                          <w:pPr>
                            <w:pStyle w:val="a8"/>
                            <w:ind w:firstLine="36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21</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EB23E2C" id="_x0000_t202" coordsize="21600,21600" o:spt="202" path="m,l,21600r21600,l21600,xe">
              <v:stroke joinstyle="miter"/>
              <v:path gradientshapeok="t" o:connecttype="rect"/>
            </v:shapetype>
            <v:shape id="文本框 3"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1DF17264" w14:textId="77777777" w:rsidR="00057EA2" w:rsidRDefault="00000000">
                    <w:pPr>
                      <w:pStyle w:val="a8"/>
                      <w:ind w:firstLine="36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21</w:t>
                    </w:r>
                    <w:r>
                      <w:rPr>
                        <w:rFonts w:ascii="Times New Roman" w:hAnsi="Times New Roman" w:cs="Times New Roman"/>
                      </w:rPr>
                      <w:fldChar w:fldCharType="end"/>
                    </w:r>
                  </w:p>
                </w:txbxContent>
              </v:textbox>
              <w10:wrap anchorx="margin"/>
            </v:shape>
          </w:pict>
        </mc:Fallback>
      </mc:AlternateContent>
    </w:r>
    <w:r>
      <w:rPr>
        <w:noProof/>
        <w:sz w:val="28"/>
      </w:rPr>
      <mc:AlternateContent>
        <mc:Choice Requires="wps">
          <w:drawing>
            <wp:anchor distT="0" distB="0" distL="114300" distR="114300" simplePos="0" relativeHeight="251659264" behindDoc="0" locked="0" layoutInCell="1" allowOverlap="1" wp14:anchorId="0C97D354" wp14:editId="37930346">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68D209" w14:textId="77777777" w:rsidR="00057EA2" w:rsidRDefault="00057EA2">
                          <w:pPr>
                            <w:pStyle w:val="a8"/>
                            <w:adjustRightInd w:val="0"/>
                            <w:spacing w:line="260" w:lineRule="exact"/>
                            <w:ind w:leftChars="150" w:left="315" w:rightChars="150" w:right="315" w:firstLine="360"/>
                            <w:rPr>
                              <w:rFonts w:hint="eastAsia"/>
                            </w:rPr>
                          </w:pPr>
                        </w:p>
                        <w:p w14:paraId="5E4E8619" w14:textId="77777777" w:rsidR="00057EA2" w:rsidRDefault="00057EA2">
                          <w:pPr>
                            <w:ind w:firstLine="420"/>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0C97D354" id="文本框 7" o:spid="_x0000_s1029"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6668D209" w14:textId="77777777" w:rsidR="00057EA2" w:rsidRDefault="00057EA2">
                    <w:pPr>
                      <w:pStyle w:val="a8"/>
                      <w:adjustRightInd w:val="0"/>
                      <w:spacing w:line="260" w:lineRule="exact"/>
                      <w:ind w:leftChars="150" w:left="315" w:rightChars="150" w:right="315" w:firstLine="360"/>
                      <w:rPr>
                        <w:rFonts w:hint="eastAsia"/>
                      </w:rPr>
                    </w:pPr>
                  </w:p>
                  <w:p w14:paraId="5E4E8619" w14:textId="77777777" w:rsidR="00057EA2" w:rsidRDefault="00057EA2">
                    <w:pPr>
                      <w:ind w:firstLine="420"/>
                      <w:rPr>
                        <w:rFonts w:hint="eastAsia"/>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67943" w14:textId="77777777" w:rsidR="008E1389" w:rsidRDefault="008E1389">
      <w:pPr>
        <w:spacing w:after="0"/>
        <w:ind w:firstLine="420"/>
        <w:rPr>
          <w:rFonts w:hint="eastAsia"/>
        </w:rPr>
      </w:pPr>
      <w:r>
        <w:separator/>
      </w:r>
    </w:p>
  </w:footnote>
  <w:footnote w:type="continuationSeparator" w:id="0">
    <w:p w14:paraId="43A2C976" w14:textId="77777777" w:rsidR="008E1389" w:rsidRDefault="008E1389">
      <w:pPr>
        <w:spacing w:after="0"/>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854BF" w14:textId="77777777" w:rsidR="00057EA2" w:rsidRDefault="00057EA2">
    <w:pPr>
      <w:pStyle w:val="aa"/>
      <w:pBdr>
        <w:bottom w:val="none" w:sz="0" w:space="1" w:color="auto"/>
      </w:pBdr>
      <w:ind w:firstLineChars="0" w:firstLine="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2"/>
  <w:drawingGridVerticalSpacing w:val="144"/>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NlM2YyNzM3NWFlMDkxNjI5NjFkNDA3NjBmY2UwODYifQ=="/>
  </w:docVars>
  <w:rsids>
    <w:rsidRoot w:val="00ED4071"/>
    <w:rsid w:val="87EF6405"/>
    <w:rsid w:val="8DA49574"/>
    <w:rsid w:val="8FFB2A47"/>
    <w:rsid w:val="93B7A099"/>
    <w:rsid w:val="93F60C0C"/>
    <w:rsid w:val="94DFD969"/>
    <w:rsid w:val="96FFD65C"/>
    <w:rsid w:val="97B68DA3"/>
    <w:rsid w:val="9949E544"/>
    <w:rsid w:val="9B0A2709"/>
    <w:rsid w:val="9BCE559C"/>
    <w:rsid w:val="9BF36FE4"/>
    <w:rsid w:val="9CFCE2DE"/>
    <w:rsid w:val="9EDF29F1"/>
    <w:rsid w:val="9F4F098A"/>
    <w:rsid w:val="9F62D60D"/>
    <w:rsid w:val="9F75C41A"/>
    <w:rsid w:val="9F9BFD4C"/>
    <w:rsid w:val="9FAE0B2C"/>
    <w:rsid w:val="9FAE910E"/>
    <w:rsid w:val="9FFF2BEC"/>
    <w:rsid w:val="9FFFA10B"/>
    <w:rsid w:val="A37FCB75"/>
    <w:rsid w:val="A4FF3427"/>
    <w:rsid w:val="A5F0AE3C"/>
    <w:rsid w:val="A6AFE7B7"/>
    <w:rsid w:val="A7471633"/>
    <w:rsid w:val="A7BE8298"/>
    <w:rsid w:val="A7FFCC3E"/>
    <w:rsid w:val="A8CB6424"/>
    <w:rsid w:val="A8FF8BDE"/>
    <w:rsid w:val="A9E1EE6E"/>
    <w:rsid w:val="A9EF081D"/>
    <w:rsid w:val="A9F74DF3"/>
    <w:rsid w:val="AAF71FE7"/>
    <w:rsid w:val="AAF7A04E"/>
    <w:rsid w:val="ABACA9A4"/>
    <w:rsid w:val="ABFB3072"/>
    <w:rsid w:val="ACFF106D"/>
    <w:rsid w:val="AD6768C3"/>
    <w:rsid w:val="ADF4F45F"/>
    <w:rsid w:val="AE7FADBA"/>
    <w:rsid w:val="AEBCEABB"/>
    <w:rsid w:val="AEFF1FF4"/>
    <w:rsid w:val="AF5E2BAE"/>
    <w:rsid w:val="AF7734C3"/>
    <w:rsid w:val="AFBF9A4E"/>
    <w:rsid w:val="AFD77C44"/>
    <w:rsid w:val="AFDD8AC5"/>
    <w:rsid w:val="AFDE7A8B"/>
    <w:rsid w:val="AFDF3367"/>
    <w:rsid w:val="AFF96005"/>
    <w:rsid w:val="AFFE0BE6"/>
    <w:rsid w:val="AFFE6717"/>
    <w:rsid w:val="B1FFF159"/>
    <w:rsid w:val="B2BF42C4"/>
    <w:rsid w:val="B2FE8C5C"/>
    <w:rsid w:val="B3E3CFC8"/>
    <w:rsid w:val="B3E5F725"/>
    <w:rsid w:val="B3FCC8EA"/>
    <w:rsid w:val="B3FDEA31"/>
    <w:rsid w:val="B467D1DC"/>
    <w:rsid w:val="B4BF5A0D"/>
    <w:rsid w:val="B56B48EA"/>
    <w:rsid w:val="B5D7EAF1"/>
    <w:rsid w:val="B5D9279F"/>
    <w:rsid w:val="B6892F5D"/>
    <w:rsid w:val="B6B67635"/>
    <w:rsid w:val="B6DF3AD5"/>
    <w:rsid w:val="B6F32621"/>
    <w:rsid w:val="B6FF707B"/>
    <w:rsid w:val="B71C72AD"/>
    <w:rsid w:val="B743CEA1"/>
    <w:rsid w:val="B7DB723C"/>
    <w:rsid w:val="B7DF5ACF"/>
    <w:rsid w:val="B7F9C1CB"/>
    <w:rsid w:val="B7FC779A"/>
    <w:rsid w:val="B9E24236"/>
    <w:rsid w:val="B9FE2D33"/>
    <w:rsid w:val="BACD0EE0"/>
    <w:rsid w:val="BAEDCC50"/>
    <w:rsid w:val="BAFBD090"/>
    <w:rsid w:val="BAFEE92B"/>
    <w:rsid w:val="BAFF7CDB"/>
    <w:rsid w:val="BB2D23CC"/>
    <w:rsid w:val="BB74CC5C"/>
    <w:rsid w:val="BB7DEB66"/>
    <w:rsid w:val="BBFE9BEF"/>
    <w:rsid w:val="BBFF8684"/>
    <w:rsid w:val="BCFFE0C6"/>
    <w:rsid w:val="BD55508A"/>
    <w:rsid w:val="BD9FFA31"/>
    <w:rsid w:val="BDDD3CCD"/>
    <w:rsid w:val="BDDF655A"/>
    <w:rsid w:val="BDEF525F"/>
    <w:rsid w:val="BDFDD630"/>
    <w:rsid w:val="BE5F2408"/>
    <w:rsid w:val="BE79283F"/>
    <w:rsid w:val="BE8EFAF9"/>
    <w:rsid w:val="BE9B5750"/>
    <w:rsid w:val="BEAD4475"/>
    <w:rsid w:val="BEBF062C"/>
    <w:rsid w:val="BEEFF034"/>
    <w:rsid w:val="BEF39AFA"/>
    <w:rsid w:val="BEFB7574"/>
    <w:rsid w:val="BF2DCA9D"/>
    <w:rsid w:val="BF3527E0"/>
    <w:rsid w:val="BF37D05B"/>
    <w:rsid w:val="BF37FD3F"/>
    <w:rsid w:val="BF3E058E"/>
    <w:rsid w:val="BF571BE7"/>
    <w:rsid w:val="BF5BB084"/>
    <w:rsid w:val="BF769C48"/>
    <w:rsid w:val="BF7BC4E2"/>
    <w:rsid w:val="BF7FAA44"/>
    <w:rsid w:val="BF97C3CC"/>
    <w:rsid w:val="BF9DC8CD"/>
    <w:rsid w:val="BFBBE413"/>
    <w:rsid w:val="BFBF496A"/>
    <w:rsid w:val="BFC7FE32"/>
    <w:rsid w:val="BFCF28F4"/>
    <w:rsid w:val="BFCFC31B"/>
    <w:rsid w:val="BFD9BF50"/>
    <w:rsid w:val="BFDE15E0"/>
    <w:rsid w:val="BFDE2B79"/>
    <w:rsid w:val="BFE519B0"/>
    <w:rsid w:val="BFECE7B1"/>
    <w:rsid w:val="BFEF182B"/>
    <w:rsid w:val="BFF6B0DE"/>
    <w:rsid w:val="BFFB8560"/>
    <w:rsid w:val="BFFD671C"/>
    <w:rsid w:val="BFFE3EAE"/>
    <w:rsid w:val="BFFEDC07"/>
    <w:rsid w:val="C3B87734"/>
    <w:rsid w:val="C3DBB62F"/>
    <w:rsid w:val="C5CE9E70"/>
    <w:rsid w:val="C6AFEC9D"/>
    <w:rsid w:val="C76F3DD9"/>
    <w:rsid w:val="C921AC0D"/>
    <w:rsid w:val="C9FB471B"/>
    <w:rsid w:val="CB77BCDB"/>
    <w:rsid w:val="CBBA11CD"/>
    <w:rsid w:val="CC02475C"/>
    <w:rsid w:val="CD634EF8"/>
    <w:rsid w:val="CE7F3BFD"/>
    <w:rsid w:val="CEDB1982"/>
    <w:rsid w:val="CEE385D9"/>
    <w:rsid w:val="CEFFCFBC"/>
    <w:rsid w:val="CF35CCA2"/>
    <w:rsid w:val="CF5FCD8E"/>
    <w:rsid w:val="CFF56EB1"/>
    <w:rsid w:val="CFFD5E8E"/>
    <w:rsid w:val="D0BDFF6A"/>
    <w:rsid w:val="D26A95EB"/>
    <w:rsid w:val="D3D34F3F"/>
    <w:rsid w:val="D3F71990"/>
    <w:rsid w:val="D4DDC3C5"/>
    <w:rsid w:val="D4DEBC6D"/>
    <w:rsid w:val="D4FBF5E0"/>
    <w:rsid w:val="D4FE2C06"/>
    <w:rsid w:val="D5DF4B26"/>
    <w:rsid w:val="D5EFAAC8"/>
    <w:rsid w:val="D5F9D2D4"/>
    <w:rsid w:val="D6694ACF"/>
    <w:rsid w:val="D768C7AD"/>
    <w:rsid w:val="D79BD2A0"/>
    <w:rsid w:val="D7DDC16E"/>
    <w:rsid w:val="D7FF9201"/>
    <w:rsid w:val="D7FFCAAF"/>
    <w:rsid w:val="D7FFEE41"/>
    <w:rsid w:val="D943F30E"/>
    <w:rsid w:val="D9C5B26C"/>
    <w:rsid w:val="D9EB277E"/>
    <w:rsid w:val="D9F9C9BF"/>
    <w:rsid w:val="D9FE5F23"/>
    <w:rsid w:val="DA7DD684"/>
    <w:rsid w:val="DAAFFB11"/>
    <w:rsid w:val="DABDFDFF"/>
    <w:rsid w:val="DB3D8E4E"/>
    <w:rsid w:val="DB5FD6B6"/>
    <w:rsid w:val="DB9B7A71"/>
    <w:rsid w:val="DBDF1EC2"/>
    <w:rsid w:val="DBFD2789"/>
    <w:rsid w:val="DBFFA1A1"/>
    <w:rsid w:val="DC3B827A"/>
    <w:rsid w:val="DC7F73CE"/>
    <w:rsid w:val="DCFB3FEB"/>
    <w:rsid w:val="DDA3A167"/>
    <w:rsid w:val="DDB86423"/>
    <w:rsid w:val="DDED22DD"/>
    <w:rsid w:val="DDEF7481"/>
    <w:rsid w:val="DDFB27EB"/>
    <w:rsid w:val="DDFF0FDE"/>
    <w:rsid w:val="DDFFBD0D"/>
    <w:rsid w:val="DE573650"/>
    <w:rsid w:val="DE5FC5A9"/>
    <w:rsid w:val="DEE3E4B6"/>
    <w:rsid w:val="DEFE2D27"/>
    <w:rsid w:val="DEFE3B73"/>
    <w:rsid w:val="DEFFA8BF"/>
    <w:rsid w:val="DEFFBA80"/>
    <w:rsid w:val="DF3672DB"/>
    <w:rsid w:val="DF3D988F"/>
    <w:rsid w:val="DF52DDC3"/>
    <w:rsid w:val="DF6E0160"/>
    <w:rsid w:val="DF7FC811"/>
    <w:rsid w:val="DF979B24"/>
    <w:rsid w:val="DFA73DE2"/>
    <w:rsid w:val="DFBF2FF2"/>
    <w:rsid w:val="DFC5EE40"/>
    <w:rsid w:val="DFC72F90"/>
    <w:rsid w:val="DFD7D15F"/>
    <w:rsid w:val="DFD9154D"/>
    <w:rsid w:val="DFDD7E8A"/>
    <w:rsid w:val="DFDE7B24"/>
    <w:rsid w:val="DFDFA0DB"/>
    <w:rsid w:val="DFE52DC7"/>
    <w:rsid w:val="DFE9145C"/>
    <w:rsid w:val="DFEB28B5"/>
    <w:rsid w:val="DFEC0D4A"/>
    <w:rsid w:val="DFF7A855"/>
    <w:rsid w:val="DFFA7D46"/>
    <w:rsid w:val="DFFAEE86"/>
    <w:rsid w:val="DFFB5459"/>
    <w:rsid w:val="DFFD1C45"/>
    <w:rsid w:val="DFFD960E"/>
    <w:rsid w:val="DFFDA2F6"/>
    <w:rsid w:val="DFFF71DB"/>
    <w:rsid w:val="DFFF7F86"/>
    <w:rsid w:val="DFFFD246"/>
    <w:rsid w:val="E1DF90E9"/>
    <w:rsid w:val="E1FEA0FB"/>
    <w:rsid w:val="E3677922"/>
    <w:rsid w:val="E3BD3210"/>
    <w:rsid w:val="E3EE2432"/>
    <w:rsid w:val="E3FB05B2"/>
    <w:rsid w:val="E3FFD6AF"/>
    <w:rsid w:val="E4FD948A"/>
    <w:rsid w:val="E5554C74"/>
    <w:rsid w:val="E5CB8DAC"/>
    <w:rsid w:val="E5DF117D"/>
    <w:rsid w:val="E6BF280C"/>
    <w:rsid w:val="E6F18D1D"/>
    <w:rsid w:val="E76F86E3"/>
    <w:rsid w:val="E79FD7C8"/>
    <w:rsid w:val="E7B761B5"/>
    <w:rsid w:val="E7BFA3B0"/>
    <w:rsid w:val="E7DF8ECD"/>
    <w:rsid w:val="E7EBF4D4"/>
    <w:rsid w:val="E7EF29CF"/>
    <w:rsid w:val="E7F58811"/>
    <w:rsid w:val="E7FBBF4C"/>
    <w:rsid w:val="E834CF6E"/>
    <w:rsid w:val="E8CFD8F9"/>
    <w:rsid w:val="E8DF8938"/>
    <w:rsid w:val="E9FD5BC8"/>
    <w:rsid w:val="E9FF802C"/>
    <w:rsid w:val="EAD37B9F"/>
    <w:rsid w:val="EAEF33BC"/>
    <w:rsid w:val="EAFEFD01"/>
    <w:rsid w:val="EB3BC602"/>
    <w:rsid w:val="EB66B298"/>
    <w:rsid w:val="EB76E5DD"/>
    <w:rsid w:val="EBCFC54B"/>
    <w:rsid w:val="EBD79042"/>
    <w:rsid w:val="EBEF2964"/>
    <w:rsid w:val="EBFB650F"/>
    <w:rsid w:val="EBFB8DB5"/>
    <w:rsid w:val="EBFE51DD"/>
    <w:rsid w:val="EC4E7A1B"/>
    <w:rsid w:val="EC747027"/>
    <w:rsid w:val="EDBC57DD"/>
    <w:rsid w:val="EDC71823"/>
    <w:rsid w:val="EDCE0924"/>
    <w:rsid w:val="EDEA5594"/>
    <w:rsid w:val="EDF3EF89"/>
    <w:rsid w:val="EDF792CB"/>
    <w:rsid w:val="EDFF265B"/>
    <w:rsid w:val="EE7F953E"/>
    <w:rsid w:val="EEBEF620"/>
    <w:rsid w:val="EEBF0548"/>
    <w:rsid w:val="EEBFFFA6"/>
    <w:rsid w:val="EEFF00F4"/>
    <w:rsid w:val="EF2ED747"/>
    <w:rsid w:val="EF35CEF1"/>
    <w:rsid w:val="EF37C291"/>
    <w:rsid w:val="EF4724B3"/>
    <w:rsid w:val="EF4EBADD"/>
    <w:rsid w:val="EF7F8C80"/>
    <w:rsid w:val="EF7FAB6F"/>
    <w:rsid w:val="EF936120"/>
    <w:rsid w:val="EF9DB597"/>
    <w:rsid w:val="EFDA5985"/>
    <w:rsid w:val="EFDD1485"/>
    <w:rsid w:val="EFDFD36F"/>
    <w:rsid w:val="EFFB834F"/>
    <w:rsid w:val="EFFB8DAA"/>
    <w:rsid w:val="EFFC4883"/>
    <w:rsid w:val="EFFF765C"/>
    <w:rsid w:val="EFFF9843"/>
    <w:rsid w:val="EFFF98CF"/>
    <w:rsid w:val="F19FCA89"/>
    <w:rsid w:val="F1BD5DA1"/>
    <w:rsid w:val="F2EF1079"/>
    <w:rsid w:val="F2FF0E58"/>
    <w:rsid w:val="F2FF31E2"/>
    <w:rsid w:val="F2FF8CAC"/>
    <w:rsid w:val="F356A03A"/>
    <w:rsid w:val="F3CFB474"/>
    <w:rsid w:val="F3E78222"/>
    <w:rsid w:val="F3EE3DAB"/>
    <w:rsid w:val="F3FF35BC"/>
    <w:rsid w:val="F3FF7CD1"/>
    <w:rsid w:val="F43D96FB"/>
    <w:rsid w:val="F4B5EF24"/>
    <w:rsid w:val="F4DB78EF"/>
    <w:rsid w:val="F4FDDFCC"/>
    <w:rsid w:val="F56E79FA"/>
    <w:rsid w:val="F57C0C59"/>
    <w:rsid w:val="F57C3B7C"/>
    <w:rsid w:val="F57EBFAF"/>
    <w:rsid w:val="F57F12CE"/>
    <w:rsid w:val="F57FE2EF"/>
    <w:rsid w:val="F5AD2489"/>
    <w:rsid w:val="F5BF29EC"/>
    <w:rsid w:val="F5BF9102"/>
    <w:rsid w:val="F5D7E328"/>
    <w:rsid w:val="F5DF789F"/>
    <w:rsid w:val="F5EFD438"/>
    <w:rsid w:val="F5F731A5"/>
    <w:rsid w:val="F5FFDFDB"/>
    <w:rsid w:val="F66EC9AC"/>
    <w:rsid w:val="F67FE538"/>
    <w:rsid w:val="F6AD9558"/>
    <w:rsid w:val="F6B79065"/>
    <w:rsid w:val="F6B87CBF"/>
    <w:rsid w:val="F6BFA919"/>
    <w:rsid w:val="F6CB2636"/>
    <w:rsid w:val="F6DEE176"/>
    <w:rsid w:val="F6F7413A"/>
    <w:rsid w:val="F6FF32A2"/>
    <w:rsid w:val="F6FF3912"/>
    <w:rsid w:val="F72F74CC"/>
    <w:rsid w:val="F75D4283"/>
    <w:rsid w:val="F76D68FD"/>
    <w:rsid w:val="F77F079A"/>
    <w:rsid w:val="F7978254"/>
    <w:rsid w:val="F7A222A4"/>
    <w:rsid w:val="F7A79683"/>
    <w:rsid w:val="F7ABD443"/>
    <w:rsid w:val="F7AF4E7B"/>
    <w:rsid w:val="F7BC5231"/>
    <w:rsid w:val="F7C5A94F"/>
    <w:rsid w:val="F7DA4A57"/>
    <w:rsid w:val="F7EA2BB2"/>
    <w:rsid w:val="F7EB3EA2"/>
    <w:rsid w:val="F7EFAE71"/>
    <w:rsid w:val="F7F14D84"/>
    <w:rsid w:val="F7F6C3E1"/>
    <w:rsid w:val="F7FB4A24"/>
    <w:rsid w:val="F7FBDFEE"/>
    <w:rsid w:val="F7FD441E"/>
    <w:rsid w:val="F7FD6CBC"/>
    <w:rsid w:val="F7FD747C"/>
    <w:rsid w:val="F8671F72"/>
    <w:rsid w:val="F8E377AB"/>
    <w:rsid w:val="F8EF9545"/>
    <w:rsid w:val="F8F7A2B8"/>
    <w:rsid w:val="F97B9F8E"/>
    <w:rsid w:val="F97D8E07"/>
    <w:rsid w:val="F9CEBBBC"/>
    <w:rsid w:val="F9D72FB0"/>
    <w:rsid w:val="F9D7C691"/>
    <w:rsid w:val="F9F1F1C5"/>
    <w:rsid w:val="F9F531D3"/>
    <w:rsid w:val="F9F79246"/>
    <w:rsid w:val="F9FC2629"/>
    <w:rsid w:val="F9FF8195"/>
    <w:rsid w:val="FA696ADE"/>
    <w:rsid w:val="FA7F6F8E"/>
    <w:rsid w:val="FAAF1AD4"/>
    <w:rsid w:val="FADB4287"/>
    <w:rsid w:val="FAE6ED3D"/>
    <w:rsid w:val="FAFC30A3"/>
    <w:rsid w:val="FAFEB340"/>
    <w:rsid w:val="FAFED471"/>
    <w:rsid w:val="FAFEFD9B"/>
    <w:rsid w:val="FB0DB923"/>
    <w:rsid w:val="FB3F1778"/>
    <w:rsid w:val="FB3F947A"/>
    <w:rsid w:val="FB6C3D58"/>
    <w:rsid w:val="FB77915B"/>
    <w:rsid w:val="FB7F680A"/>
    <w:rsid w:val="FB7F7001"/>
    <w:rsid w:val="FB82A3A1"/>
    <w:rsid w:val="FBBB49A8"/>
    <w:rsid w:val="FBBD7E93"/>
    <w:rsid w:val="FBBFB6B0"/>
    <w:rsid w:val="FBE6A426"/>
    <w:rsid w:val="FBE7CABF"/>
    <w:rsid w:val="FBEF402D"/>
    <w:rsid w:val="FBF7BDD4"/>
    <w:rsid w:val="FBFDD327"/>
    <w:rsid w:val="FBFDF6A5"/>
    <w:rsid w:val="FBFF79E5"/>
    <w:rsid w:val="FC4CBDCB"/>
    <w:rsid w:val="FCAF7045"/>
    <w:rsid w:val="FCBBD3E3"/>
    <w:rsid w:val="FCBDDECA"/>
    <w:rsid w:val="FCCF313E"/>
    <w:rsid w:val="FCD7595F"/>
    <w:rsid w:val="FCDFD18D"/>
    <w:rsid w:val="FCFE42FF"/>
    <w:rsid w:val="FCFF39FA"/>
    <w:rsid w:val="FD3E125D"/>
    <w:rsid w:val="FD3FA77B"/>
    <w:rsid w:val="FD5F9682"/>
    <w:rsid w:val="FD679FB6"/>
    <w:rsid w:val="FD6FF9C3"/>
    <w:rsid w:val="FD7BF450"/>
    <w:rsid w:val="FD7F5E0E"/>
    <w:rsid w:val="FDAA1F65"/>
    <w:rsid w:val="FDBA5E20"/>
    <w:rsid w:val="FDBE12DE"/>
    <w:rsid w:val="FDBE8E09"/>
    <w:rsid w:val="FDD52886"/>
    <w:rsid w:val="FDD6862C"/>
    <w:rsid w:val="FDDD7C93"/>
    <w:rsid w:val="FDE322D5"/>
    <w:rsid w:val="FDE61F99"/>
    <w:rsid w:val="FDF0F35A"/>
    <w:rsid w:val="FDF30CA8"/>
    <w:rsid w:val="FDFB4BB2"/>
    <w:rsid w:val="FDFCADE8"/>
    <w:rsid w:val="FDFE2FDD"/>
    <w:rsid w:val="FDFF8F6E"/>
    <w:rsid w:val="FE237247"/>
    <w:rsid w:val="FE57D55D"/>
    <w:rsid w:val="FE5E9D50"/>
    <w:rsid w:val="FE5F9D9C"/>
    <w:rsid w:val="FE6E8EC1"/>
    <w:rsid w:val="FE6F5715"/>
    <w:rsid w:val="FE6F6727"/>
    <w:rsid w:val="FE7727CC"/>
    <w:rsid w:val="FE7E3CB7"/>
    <w:rsid w:val="FE7EE74E"/>
    <w:rsid w:val="FEA7ACD2"/>
    <w:rsid w:val="FEBAFC94"/>
    <w:rsid w:val="FEBDB354"/>
    <w:rsid w:val="FED2B98F"/>
    <w:rsid w:val="FEDE8533"/>
    <w:rsid w:val="FEEFF791"/>
    <w:rsid w:val="FEF79AF7"/>
    <w:rsid w:val="FEF9724C"/>
    <w:rsid w:val="FEFE094F"/>
    <w:rsid w:val="FEFE2A48"/>
    <w:rsid w:val="FEFF5CFD"/>
    <w:rsid w:val="FEFFB389"/>
    <w:rsid w:val="FF17F6F4"/>
    <w:rsid w:val="FF1F9C9A"/>
    <w:rsid w:val="FF290980"/>
    <w:rsid w:val="FF2D78E0"/>
    <w:rsid w:val="FF3DEA79"/>
    <w:rsid w:val="FF3F4864"/>
    <w:rsid w:val="FF3F8BCB"/>
    <w:rsid w:val="FF4636CA"/>
    <w:rsid w:val="FF52632A"/>
    <w:rsid w:val="FF6F848F"/>
    <w:rsid w:val="FF6F8C81"/>
    <w:rsid w:val="FF6FA749"/>
    <w:rsid w:val="FF754373"/>
    <w:rsid w:val="FF76BA8B"/>
    <w:rsid w:val="FF77DF7F"/>
    <w:rsid w:val="FF78F20B"/>
    <w:rsid w:val="FF7D46D9"/>
    <w:rsid w:val="FF7D9309"/>
    <w:rsid w:val="FF7EB436"/>
    <w:rsid w:val="FF7F06AA"/>
    <w:rsid w:val="FF7F9A73"/>
    <w:rsid w:val="FF947030"/>
    <w:rsid w:val="FF9E9D6E"/>
    <w:rsid w:val="FF9F3B27"/>
    <w:rsid w:val="FFA71A96"/>
    <w:rsid w:val="FFAC79B7"/>
    <w:rsid w:val="FFAED346"/>
    <w:rsid w:val="FFB34106"/>
    <w:rsid w:val="FFB3B747"/>
    <w:rsid w:val="FFB59412"/>
    <w:rsid w:val="FFB61A8B"/>
    <w:rsid w:val="FFBB7BC7"/>
    <w:rsid w:val="FFBD2E3C"/>
    <w:rsid w:val="FFBF14A1"/>
    <w:rsid w:val="FFBF7104"/>
    <w:rsid w:val="FFBFBECC"/>
    <w:rsid w:val="FFBFBFF0"/>
    <w:rsid w:val="FFC733DC"/>
    <w:rsid w:val="FFC74F2B"/>
    <w:rsid w:val="FFCB3BEE"/>
    <w:rsid w:val="FFCDF53B"/>
    <w:rsid w:val="FFD0EAFD"/>
    <w:rsid w:val="FFD4A268"/>
    <w:rsid w:val="FFD67074"/>
    <w:rsid w:val="FFD749F0"/>
    <w:rsid w:val="FFD7B6A4"/>
    <w:rsid w:val="FFDAF0EB"/>
    <w:rsid w:val="FFDBCCDC"/>
    <w:rsid w:val="FFDD5697"/>
    <w:rsid w:val="FFDE418D"/>
    <w:rsid w:val="FFDEE716"/>
    <w:rsid w:val="FFDEFBF9"/>
    <w:rsid w:val="FFDF64CB"/>
    <w:rsid w:val="FFDF863E"/>
    <w:rsid w:val="FFDFA626"/>
    <w:rsid w:val="FFDFB031"/>
    <w:rsid w:val="FFE37C47"/>
    <w:rsid w:val="FFE79331"/>
    <w:rsid w:val="FFEBEB8E"/>
    <w:rsid w:val="FFEE6D4D"/>
    <w:rsid w:val="FFEEBB73"/>
    <w:rsid w:val="FFEF39FB"/>
    <w:rsid w:val="FFEF64FA"/>
    <w:rsid w:val="FFEF87F1"/>
    <w:rsid w:val="FFF7A95C"/>
    <w:rsid w:val="FFF93D5D"/>
    <w:rsid w:val="FFFCA094"/>
    <w:rsid w:val="FFFD18DB"/>
    <w:rsid w:val="FFFD8D93"/>
    <w:rsid w:val="FFFDE576"/>
    <w:rsid w:val="FFFEED20"/>
    <w:rsid w:val="FFFF0AB1"/>
    <w:rsid w:val="FFFF25E8"/>
    <w:rsid w:val="FFFF97E4"/>
    <w:rsid w:val="FFFFAA7C"/>
    <w:rsid w:val="FFFFCB8C"/>
    <w:rsid w:val="FFFFD807"/>
    <w:rsid w:val="00000E37"/>
    <w:rsid w:val="00007C71"/>
    <w:rsid w:val="00007D1D"/>
    <w:rsid w:val="00013464"/>
    <w:rsid w:val="00015332"/>
    <w:rsid w:val="000166D8"/>
    <w:rsid w:val="00017490"/>
    <w:rsid w:val="000202B7"/>
    <w:rsid w:val="00020C0E"/>
    <w:rsid w:val="00021E81"/>
    <w:rsid w:val="00025EAE"/>
    <w:rsid w:val="00027114"/>
    <w:rsid w:val="000321F8"/>
    <w:rsid w:val="00033FFC"/>
    <w:rsid w:val="0003672D"/>
    <w:rsid w:val="00037857"/>
    <w:rsid w:val="0004069B"/>
    <w:rsid w:val="0004079A"/>
    <w:rsid w:val="000442A9"/>
    <w:rsid w:val="00051401"/>
    <w:rsid w:val="00054FAA"/>
    <w:rsid w:val="00056DC6"/>
    <w:rsid w:val="00057397"/>
    <w:rsid w:val="00057EA2"/>
    <w:rsid w:val="000616D5"/>
    <w:rsid w:val="00061F6B"/>
    <w:rsid w:val="0006210C"/>
    <w:rsid w:val="00063E7C"/>
    <w:rsid w:val="000646B1"/>
    <w:rsid w:val="00065091"/>
    <w:rsid w:val="00071331"/>
    <w:rsid w:val="00071AA6"/>
    <w:rsid w:val="00071AFF"/>
    <w:rsid w:val="00077F68"/>
    <w:rsid w:val="00082C72"/>
    <w:rsid w:val="00083973"/>
    <w:rsid w:val="00087872"/>
    <w:rsid w:val="00087A24"/>
    <w:rsid w:val="00087B37"/>
    <w:rsid w:val="00090627"/>
    <w:rsid w:val="00093479"/>
    <w:rsid w:val="000A049D"/>
    <w:rsid w:val="000B00B7"/>
    <w:rsid w:val="000B1651"/>
    <w:rsid w:val="000B1781"/>
    <w:rsid w:val="000B1AC3"/>
    <w:rsid w:val="000B2803"/>
    <w:rsid w:val="000B5A88"/>
    <w:rsid w:val="000C2A87"/>
    <w:rsid w:val="000C4755"/>
    <w:rsid w:val="000C65EE"/>
    <w:rsid w:val="000C73D0"/>
    <w:rsid w:val="000D27F1"/>
    <w:rsid w:val="000D412B"/>
    <w:rsid w:val="000D4A4C"/>
    <w:rsid w:val="000D4FB8"/>
    <w:rsid w:val="000E4ACF"/>
    <w:rsid w:val="000E5605"/>
    <w:rsid w:val="000E5EC4"/>
    <w:rsid w:val="000E6EE7"/>
    <w:rsid w:val="000F01CA"/>
    <w:rsid w:val="000F2A6C"/>
    <w:rsid w:val="000F3435"/>
    <w:rsid w:val="000F6DBC"/>
    <w:rsid w:val="000F7938"/>
    <w:rsid w:val="00100176"/>
    <w:rsid w:val="00106A5D"/>
    <w:rsid w:val="00111935"/>
    <w:rsid w:val="00117AB6"/>
    <w:rsid w:val="0012178C"/>
    <w:rsid w:val="00124372"/>
    <w:rsid w:val="00126387"/>
    <w:rsid w:val="0012757B"/>
    <w:rsid w:val="00141897"/>
    <w:rsid w:val="001426E5"/>
    <w:rsid w:val="00143306"/>
    <w:rsid w:val="00145C87"/>
    <w:rsid w:val="00145FF1"/>
    <w:rsid w:val="00146069"/>
    <w:rsid w:val="00146BFD"/>
    <w:rsid w:val="001511EF"/>
    <w:rsid w:val="00151270"/>
    <w:rsid w:val="00152588"/>
    <w:rsid w:val="001555A1"/>
    <w:rsid w:val="00161B00"/>
    <w:rsid w:val="00166BE1"/>
    <w:rsid w:val="00167DC1"/>
    <w:rsid w:val="001705B8"/>
    <w:rsid w:val="001710AD"/>
    <w:rsid w:val="001715E1"/>
    <w:rsid w:val="00177A66"/>
    <w:rsid w:val="00181279"/>
    <w:rsid w:val="001815DA"/>
    <w:rsid w:val="00183A52"/>
    <w:rsid w:val="00187E1D"/>
    <w:rsid w:val="00193991"/>
    <w:rsid w:val="00194DF6"/>
    <w:rsid w:val="00195468"/>
    <w:rsid w:val="00195A83"/>
    <w:rsid w:val="001968FD"/>
    <w:rsid w:val="001970A9"/>
    <w:rsid w:val="001A0F7B"/>
    <w:rsid w:val="001A2295"/>
    <w:rsid w:val="001A41E9"/>
    <w:rsid w:val="001A6523"/>
    <w:rsid w:val="001A7D07"/>
    <w:rsid w:val="001B0CA0"/>
    <w:rsid w:val="001B68B6"/>
    <w:rsid w:val="001B7807"/>
    <w:rsid w:val="001B7E75"/>
    <w:rsid w:val="001C3F80"/>
    <w:rsid w:val="001C4A87"/>
    <w:rsid w:val="001C78F6"/>
    <w:rsid w:val="001C7B0A"/>
    <w:rsid w:val="001D0778"/>
    <w:rsid w:val="001D49DB"/>
    <w:rsid w:val="001D6AF7"/>
    <w:rsid w:val="001D772E"/>
    <w:rsid w:val="001E5883"/>
    <w:rsid w:val="001E5CA8"/>
    <w:rsid w:val="001F0F69"/>
    <w:rsid w:val="001F289F"/>
    <w:rsid w:val="001F2D29"/>
    <w:rsid w:val="001F39F3"/>
    <w:rsid w:val="001F5AA3"/>
    <w:rsid w:val="0020057E"/>
    <w:rsid w:val="002009C8"/>
    <w:rsid w:val="00200CA5"/>
    <w:rsid w:val="00201B26"/>
    <w:rsid w:val="00201B45"/>
    <w:rsid w:val="00203FFE"/>
    <w:rsid w:val="00204C73"/>
    <w:rsid w:val="00205A6B"/>
    <w:rsid w:val="00210581"/>
    <w:rsid w:val="00211F89"/>
    <w:rsid w:val="002126E6"/>
    <w:rsid w:val="00213806"/>
    <w:rsid w:val="00213FD7"/>
    <w:rsid w:val="002151FF"/>
    <w:rsid w:val="0021538D"/>
    <w:rsid w:val="00215A12"/>
    <w:rsid w:val="00216176"/>
    <w:rsid w:val="0022564C"/>
    <w:rsid w:val="002261D3"/>
    <w:rsid w:val="0022657B"/>
    <w:rsid w:val="0023197D"/>
    <w:rsid w:val="00235B62"/>
    <w:rsid w:val="0023749F"/>
    <w:rsid w:val="00237659"/>
    <w:rsid w:val="00245B4E"/>
    <w:rsid w:val="002478DD"/>
    <w:rsid w:val="002607A8"/>
    <w:rsid w:val="00261007"/>
    <w:rsid w:val="002619A3"/>
    <w:rsid w:val="002655FD"/>
    <w:rsid w:val="00266C54"/>
    <w:rsid w:val="002721CB"/>
    <w:rsid w:val="002875B3"/>
    <w:rsid w:val="002933BA"/>
    <w:rsid w:val="00293BE0"/>
    <w:rsid w:val="002959F1"/>
    <w:rsid w:val="00297015"/>
    <w:rsid w:val="002973BA"/>
    <w:rsid w:val="002A0A75"/>
    <w:rsid w:val="002A18D9"/>
    <w:rsid w:val="002B0566"/>
    <w:rsid w:val="002B1ACF"/>
    <w:rsid w:val="002B20CC"/>
    <w:rsid w:val="002B320E"/>
    <w:rsid w:val="002B4558"/>
    <w:rsid w:val="002C04ED"/>
    <w:rsid w:val="002C115D"/>
    <w:rsid w:val="002C1220"/>
    <w:rsid w:val="002C14E3"/>
    <w:rsid w:val="002C2390"/>
    <w:rsid w:val="002C28E8"/>
    <w:rsid w:val="002D0F06"/>
    <w:rsid w:val="002D19AA"/>
    <w:rsid w:val="002D3173"/>
    <w:rsid w:val="002D51BB"/>
    <w:rsid w:val="002E0685"/>
    <w:rsid w:val="002E290C"/>
    <w:rsid w:val="002E3C45"/>
    <w:rsid w:val="002F072E"/>
    <w:rsid w:val="002F44AA"/>
    <w:rsid w:val="002F5C4D"/>
    <w:rsid w:val="003018B9"/>
    <w:rsid w:val="00303A95"/>
    <w:rsid w:val="003061C2"/>
    <w:rsid w:val="00307A88"/>
    <w:rsid w:val="003138A3"/>
    <w:rsid w:val="0031460C"/>
    <w:rsid w:val="00316F21"/>
    <w:rsid w:val="00325002"/>
    <w:rsid w:val="003277AA"/>
    <w:rsid w:val="00327A01"/>
    <w:rsid w:val="00332658"/>
    <w:rsid w:val="0033324F"/>
    <w:rsid w:val="00333603"/>
    <w:rsid w:val="00333EDA"/>
    <w:rsid w:val="00335D29"/>
    <w:rsid w:val="00336FCA"/>
    <w:rsid w:val="003423A8"/>
    <w:rsid w:val="003423CC"/>
    <w:rsid w:val="00345364"/>
    <w:rsid w:val="00345B5B"/>
    <w:rsid w:val="0035263D"/>
    <w:rsid w:val="0035339E"/>
    <w:rsid w:val="00353EB8"/>
    <w:rsid w:val="00360146"/>
    <w:rsid w:val="00360A22"/>
    <w:rsid w:val="00362136"/>
    <w:rsid w:val="0036382E"/>
    <w:rsid w:val="0036462E"/>
    <w:rsid w:val="00365589"/>
    <w:rsid w:val="00366F07"/>
    <w:rsid w:val="00370F73"/>
    <w:rsid w:val="00373569"/>
    <w:rsid w:val="0037394B"/>
    <w:rsid w:val="003758AA"/>
    <w:rsid w:val="003765BB"/>
    <w:rsid w:val="003810E1"/>
    <w:rsid w:val="00381663"/>
    <w:rsid w:val="0038192B"/>
    <w:rsid w:val="0038349B"/>
    <w:rsid w:val="00385E68"/>
    <w:rsid w:val="0038725F"/>
    <w:rsid w:val="00387E23"/>
    <w:rsid w:val="003A329B"/>
    <w:rsid w:val="003A41D0"/>
    <w:rsid w:val="003A6C4D"/>
    <w:rsid w:val="003B12CF"/>
    <w:rsid w:val="003B20DF"/>
    <w:rsid w:val="003B56F6"/>
    <w:rsid w:val="003B6D21"/>
    <w:rsid w:val="003C2024"/>
    <w:rsid w:val="003C2BFD"/>
    <w:rsid w:val="003C2E92"/>
    <w:rsid w:val="003C3F0D"/>
    <w:rsid w:val="003D1723"/>
    <w:rsid w:val="003D5A05"/>
    <w:rsid w:val="003D6989"/>
    <w:rsid w:val="003D741E"/>
    <w:rsid w:val="003E1E1D"/>
    <w:rsid w:val="003E21B5"/>
    <w:rsid w:val="003E3EE6"/>
    <w:rsid w:val="003E5628"/>
    <w:rsid w:val="003E6CDD"/>
    <w:rsid w:val="003E7B81"/>
    <w:rsid w:val="003F59F4"/>
    <w:rsid w:val="003F63F3"/>
    <w:rsid w:val="003F74BE"/>
    <w:rsid w:val="0040164C"/>
    <w:rsid w:val="00402BD5"/>
    <w:rsid w:val="0041073A"/>
    <w:rsid w:val="0041121F"/>
    <w:rsid w:val="00411C9B"/>
    <w:rsid w:val="00421EE4"/>
    <w:rsid w:val="00426841"/>
    <w:rsid w:val="0043205E"/>
    <w:rsid w:val="0043261E"/>
    <w:rsid w:val="004331DA"/>
    <w:rsid w:val="00436074"/>
    <w:rsid w:val="004364A0"/>
    <w:rsid w:val="0044541E"/>
    <w:rsid w:val="004471FD"/>
    <w:rsid w:val="00447AC8"/>
    <w:rsid w:val="00450A7D"/>
    <w:rsid w:val="00453AC3"/>
    <w:rsid w:val="004574A3"/>
    <w:rsid w:val="004603FC"/>
    <w:rsid w:val="0046066E"/>
    <w:rsid w:val="004669C9"/>
    <w:rsid w:val="00467153"/>
    <w:rsid w:val="00472816"/>
    <w:rsid w:val="00472985"/>
    <w:rsid w:val="004736B1"/>
    <w:rsid w:val="004812B8"/>
    <w:rsid w:val="0048145F"/>
    <w:rsid w:val="004825CC"/>
    <w:rsid w:val="00483A01"/>
    <w:rsid w:val="00486B6C"/>
    <w:rsid w:val="00487672"/>
    <w:rsid w:val="00493F61"/>
    <w:rsid w:val="004A0E6F"/>
    <w:rsid w:val="004A60BE"/>
    <w:rsid w:val="004A67A4"/>
    <w:rsid w:val="004B0BB6"/>
    <w:rsid w:val="004B1BDF"/>
    <w:rsid w:val="004B2815"/>
    <w:rsid w:val="004C09C5"/>
    <w:rsid w:val="004C4382"/>
    <w:rsid w:val="004C49BF"/>
    <w:rsid w:val="004C4DA8"/>
    <w:rsid w:val="004C5F62"/>
    <w:rsid w:val="004C668F"/>
    <w:rsid w:val="004C7EF4"/>
    <w:rsid w:val="004D003A"/>
    <w:rsid w:val="004D0C08"/>
    <w:rsid w:val="004D6A84"/>
    <w:rsid w:val="004F40B1"/>
    <w:rsid w:val="004F48BF"/>
    <w:rsid w:val="0050083A"/>
    <w:rsid w:val="00500D17"/>
    <w:rsid w:val="00501E9D"/>
    <w:rsid w:val="00502324"/>
    <w:rsid w:val="00502DCB"/>
    <w:rsid w:val="00505D3C"/>
    <w:rsid w:val="0051276F"/>
    <w:rsid w:val="005179F3"/>
    <w:rsid w:val="005201AC"/>
    <w:rsid w:val="005202D4"/>
    <w:rsid w:val="005207E6"/>
    <w:rsid w:val="00521EE7"/>
    <w:rsid w:val="005224B8"/>
    <w:rsid w:val="0052459E"/>
    <w:rsid w:val="00535B59"/>
    <w:rsid w:val="005417F3"/>
    <w:rsid w:val="00542E8E"/>
    <w:rsid w:val="00543B31"/>
    <w:rsid w:val="0054577C"/>
    <w:rsid w:val="00545AAE"/>
    <w:rsid w:val="0054642E"/>
    <w:rsid w:val="0054747D"/>
    <w:rsid w:val="00552197"/>
    <w:rsid w:val="00553547"/>
    <w:rsid w:val="00553DDA"/>
    <w:rsid w:val="0055542C"/>
    <w:rsid w:val="00556822"/>
    <w:rsid w:val="00556B12"/>
    <w:rsid w:val="0056306A"/>
    <w:rsid w:val="00563668"/>
    <w:rsid w:val="005657FB"/>
    <w:rsid w:val="00570CB3"/>
    <w:rsid w:val="00571C61"/>
    <w:rsid w:val="00571EC2"/>
    <w:rsid w:val="00572B09"/>
    <w:rsid w:val="00581564"/>
    <w:rsid w:val="0058413A"/>
    <w:rsid w:val="0059275D"/>
    <w:rsid w:val="00592D5D"/>
    <w:rsid w:val="00595DB8"/>
    <w:rsid w:val="0059603D"/>
    <w:rsid w:val="00597AFB"/>
    <w:rsid w:val="005A309D"/>
    <w:rsid w:val="005A3FB6"/>
    <w:rsid w:val="005A7D79"/>
    <w:rsid w:val="005B300D"/>
    <w:rsid w:val="005B3C0C"/>
    <w:rsid w:val="005B460B"/>
    <w:rsid w:val="005C0DFE"/>
    <w:rsid w:val="005C17AC"/>
    <w:rsid w:val="005C3845"/>
    <w:rsid w:val="005C3CC0"/>
    <w:rsid w:val="005D118F"/>
    <w:rsid w:val="005D540B"/>
    <w:rsid w:val="005E1C19"/>
    <w:rsid w:val="005E6B72"/>
    <w:rsid w:val="005F7343"/>
    <w:rsid w:val="0060349F"/>
    <w:rsid w:val="00603A97"/>
    <w:rsid w:val="00606760"/>
    <w:rsid w:val="00607579"/>
    <w:rsid w:val="00616125"/>
    <w:rsid w:val="006166AC"/>
    <w:rsid w:val="006217F3"/>
    <w:rsid w:val="0062245B"/>
    <w:rsid w:val="00623441"/>
    <w:rsid w:val="00623CCF"/>
    <w:rsid w:val="00626ABC"/>
    <w:rsid w:val="006309A3"/>
    <w:rsid w:val="0063499E"/>
    <w:rsid w:val="00635B6E"/>
    <w:rsid w:val="00643262"/>
    <w:rsid w:val="00643B75"/>
    <w:rsid w:val="00644631"/>
    <w:rsid w:val="00646BDF"/>
    <w:rsid w:val="00650D50"/>
    <w:rsid w:val="00650DED"/>
    <w:rsid w:val="00651948"/>
    <w:rsid w:val="0065735C"/>
    <w:rsid w:val="00660412"/>
    <w:rsid w:val="006604FD"/>
    <w:rsid w:val="00660831"/>
    <w:rsid w:val="0066741E"/>
    <w:rsid w:val="006722E5"/>
    <w:rsid w:val="00673F4B"/>
    <w:rsid w:val="00674281"/>
    <w:rsid w:val="00674684"/>
    <w:rsid w:val="00674E8B"/>
    <w:rsid w:val="00685022"/>
    <w:rsid w:val="00687D2B"/>
    <w:rsid w:val="006970A5"/>
    <w:rsid w:val="006A223F"/>
    <w:rsid w:val="006A2FF4"/>
    <w:rsid w:val="006B0913"/>
    <w:rsid w:val="006B225B"/>
    <w:rsid w:val="006B231C"/>
    <w:rsid w:val="006B4DB3"/>
    <w:rsid w:val="006B4ECD"/>
    <w:rsid w:val="006C0FC4"/>
    <w:rsid w:val="006C1CE7"/>
    <w:rsid w:val="006C5B40"/>
    <w:rsid w:val="006C7A96"/>
    <w:rsid w:val="006D1747"/>
    <w:rsid w:val="006D1F1E"/>
    <w:rsid w:val="006D1F66"/>
    <w:rsid w:val="006D4135"/>
    <w:rsid w:val="006D491A"/>
    <w:rsid w:val="006D4AF8"/>
    <w:rsid w:val="006D62BD"/>
    <w:rsid w:val="006E052E"/>
    <w:rsid w:val="006E0989"/>
    <w:rsid w:val="006E0F28"/>
    <w:rsid w:val="006E267F"/>
    <w:rsid w:val="006E3EF9"/>
    <w:rsid w:val="006E63F5"/>
    <w:rsid w:val="006E6C52"/>
    <w:rsid w:val="006E6D45"/>
    <w:rsid w:val="006F1981"/>
    <w:rsid w:val="006F1CF2"/>
    <w:rsid w:val="006F37A5"/>
    <w:rsid w:val="006F7148"/>
    <w:rsid w:val="0070058F"/>
    <w:rsid w:val="00701E48"/>
    <w:rsid w:val="00702CC2"/>
    <w:rsid w:val="00703AAC"/>
    <w:rsid w:val="00720DBD"/>
    <w:rsid w:val="00721DBB"/>
    <w:rsid w:val="00724BBF"/>
    <w:rsid w:val="00726CA2"/>
    <w:rsid w:val="007342CD"/>
    <w:rsid w:val="00735349"/>
    <w:rsid w:val="00735B43"/>
    <w:rsid w:val="00744DC6"/>
    <w:rsid w:val="00746CC9"/>
    <w:rsid w:val="007529D4"/>
    <w:rsid w:val="00752F12"/>
    <w:rsid w:val="007559F2"/>
    <w:rsid w:val="00760A8E"/>
    <w:rsid w:val="007612B7"/>
    <w:rsid w:val="00763B8C"/>
    <w:rsid w:val="00763C72"/>
    <w:rsid w:val="007644EE"/>
    <w:rsid w:val="00770979"/>
    <w:rsid w:val="00770EB8"/>
    <w:rsid w:val="007739AF"/>
    <w:rsid w:val="00776D2E"/>
    <w:rsid w:val="0078202F"/>
    <w:rsid w:val="007828B6"/>
    <w:rsid w:val="00791C2C"/>
    <w:rsid w:val="00794377"/>
    <w:rsid w:val="007949B5"/>
    <w:rsid w:val="00795FB5"/>
    <w:rsid w:val="00796738"/>
    <w:rsid w:val="007A0776"/>
    <w:rsid w:val="007A080F"/>
    <w:rsid w:val="007A2098"/>
    <w:rsid w:val="007A5E53"/>
    <w:rsid w:val="007B0A35"/>
    <w:rsid w:val="007B130E"/>
    <w:rsid w:val="007B37DB"/>
    <w:rsid w:val="007B41C5"/>
    <w:rsid w:val="007B5FBE"/>
    <w:rsid w:val="007C5B21"/>
    <w:rsid w:val="007C64EB"/>
    <w:rsid w:val="007C6EF3"/>
    <w:rsid w:val="007D1E35"/>
    <w:rsid w:val="007D28CA"/>
    <w:rsid w:val="007D3B67"/>
    <w:rsid w:val="007E4056"/>
    <w:rsid w:val="007E66D8"/>
    <w:rsid w:val="007E6C03"/>
    <w:rsid w:val="007F386E"/>
    <w:rsid w:val="007F6FBE"/>
    <w:rsid w:val="008008AB"/>
    <w:rsid w:val="00800E42"/>
    <w:rsid w:val="00807AB5"/>
    <w:rsid w:val="00814F56"/>
    <w:rsid w:val="00817CB9"/>
    <w:rsid w:val="00820726"/>
    <w:rsid w:val="00826242"/>
    <w:rsid w:val="008271CC"/>
    <w:rsid w:val="00832325"/>
    <w:rsid w:val="00834D2A"/>
    <w:rsid w:val="00835886"/>
    <w:rsid w:val="00835924"/>
    <w:rsid w:val="0083673D"/>
    <w:rsid w:val="008373CB"/>
    <w:rsid w:val="008376FC"/>
    <w:rsid w:val="00840CA8"/>
    <w:rsid w:val="00844447"/>
    <w:rsid w:val="008445B5"/>
    <w:rsid w:val="00851710"/>
    <w:rsid w:val="008519B3"/>
    <w:rsid w:val="00851A9A"/>
    <w:rsid w:val="00854067"/>
    <w:rsid w:val="00860981"/>
    <w:rsid w:val="00861574"/>
    <w:rsid w:val="00863161"/>
    <w:rsid w:val="00865551"/>
    <w:rsid w:val="008663C9"/>
    <w:rsid w:val="00870117"/>
    <w:rsid w:val="008718E6"/>
    <w:rsid w:val="00871A86"/>
    <w:rsid w:val="00871D65"/>
    <w:rsid w:val="00874357"/>
    <w:rsid w:val="00880F15"/>
    <w:rsid w:val="00882963"/>
    <w:rsid w:val="0088430F"/>
    <w:rsid w:val="00884902"/>
    <w:rsid w:val="0089296B"/>
    <w:rsid w:val="00897971"/>
    <w:rsid w:val="008A3442"/>
    <w:rsid w:val="008A397B"/>
    <w:rsid w:val="008A41DA"/>
    <w:rsid w:val="008A6B13"/>
    <w:rsid w:val="008B01E6"/>
    <w:rsid w:val="008B02A2"/>
    <w:rsid w:val="008B1B34"/>
    <w:rsid w:val="008B3FEF"/>
    <w:rsid w:val="008B4CB5"/>
    <w:rsid w:val="008B5259"/>
    <w:rsid w:val="008B602B"/>
    <w:rsid w:val="008B75CA"/>
    <w:rsid w:val="008B77D2"/>
    <w:rsid w:val="008C0AC4"/>
    <w:rsid w:val="008D25BC"/>
    <w:rsid w:val="008D35C4"/>
    <w:rsid w:val="008D429E"/>
    <w:rsid w:val="008D6738"/>
    <w:rsid w:val="008D6A87"/>
    <w:rsid w:val="008D739D"/>
    <w:rsid w:val="008D79BB"/>
    <w:rsid w:val="008D7ED6"/>
    <w:rsid w:val="008E1389"/>
    <w:rsid w:val="008E2CE7"/>
    <w:rsid w:val="008E309E"/>
    <w:rsid w:val="008E5A74"/>
    <w:rsid w:val="008F6083"/>
    <w:rsid w:val="008F6671"/>
    <w:rsid w:val="008F7B52"/>
    <w:rsid w:val="009001BB"/>
    <w:rsid w:val="00904D60"/>
    <w:rsid w:val="009063CA"/>
    <w:rsid w:val="00914A6E"/>
    <w:rsid w:val="00920947"/>
    <w:rsid w:val="00921AC5"/>
    <w:rsid w:val="00921CD7"/>
    <w:rsid w:val="00926915"/>
    <w:rsid w:val="00931C54"/>
    <w:rsid w:val="00932935"/>
    <w:rsid w:val="009370A0"/>
    <w:rsid w:val="009378B9"/>
    <w:rsid w:val="00937A29"/>
    <w:rsid w:val="00940D34"/>
    <w:rsid w:val="009441CF"/>
    <w:rsid w:val="00956204"/>
    <w:rsid w:val="0095695E"/>
    <w:rsid w:val="009619E9"/>
    <w:rsid w:val="0096430E"/>
    <w:rsid w:val="00966EA2"/>
    <w:rsid w:val="00970AE2"/>
    <w:rsid w:val="00971D4A"/>
    <w:rsid w:val="009726AE"/>
    <w:rsid w:val="00972CF1"/>
    <w:rsid w:val="00974883"/>
    <w:rsid w:val="00974B69"/>
    <w:rsid w:val="00976F82"/>
    <w:rsid w:val="009775C6"/>
    <w:rsid w:val="00983816"/>
    <w:rsid w:val="00983A08"/>
    <w:rsid w:val="009865B4"/>
    <w:rsid w:val="009912A3"/>
    <w:rsid w:val="00993B4D"/>
    <w:rsid w:val="00994487"/>
    <w:rsid w:val="00994B56"/>
    <w:rsid w:val="0099590F"/>
    <w:rsid w:val="00997822"/>
    <w:rsid w:val="009A4EA0"/>
    <w:rsid w:val="009A5925"/>
    <w:rsid w:val="009A7909"/>
    <w:rsid w:val="009A7938"/>
    <w:rsid w:val="009A7D3F"/>
    <w:rsid w:val="009B0EB7"/>
    <w:rsid w:val="009B29AA"/>
    <w:rsid w:val="009B372D"/>
    <w:rsid w:val="009B61DF"/>
    <w:rsid w:val="009B6FCF"/>
    <w:rsid w:val="009C0DA5"/>
    <w:rsid w:val="009C2F3C"/>
    <w:rsid w:val="009C4953"/>
    <w:rsid w:val="009C5838"/>
    <w:rsid w:val="009D3EC8"/>
    <w:rsid w:val="009E08AD"/>
    <w:rsid w:val="009E15C9"/>
    <w:rsid w:val="009E7EB3"/>
    <w:rsid w:val="009F0F4E"/>
    <w:rsid w:val="009F47EB"/>
    <w:rsid w:val="009F610B"/>
    <w:rsid w:val="009F70D3"/>
    <w:rsid w:val="009F731D"/>
    <w:rsid w:val="009F7EDF"/>
    <w:rsid w:val="00A00881"/>
    <w:rsid w:val="00A01E5B"/>
    <w:rsid w:val="00A050A5"/>
    <w:rsid w:val="00A1136F"/>
    <w:rsid w:val="00A13D70"/>
    <w:rsid w:val="00A15CC8"/>
    <w:rsid w:val="00A23899"/>
    <w:rsid w:val="00A238B9"/>
    <w:rsid w:val="00A24BAA"/>
    <w:rsid w:val="00A305AC"/>
    <w:rsid w:val="00A34EB9"/>
    <w:rsid w:val="00A35B2F"/>
    <w:rsid w:val="00A3624B"/>
    <w:rsid w:val="00A37240"/>
    <w:rsid w:val="00A40A32"/>
    <w:rsid w:val="00A44615"/>
    <w:rsid w:val="00A52ACB"/>
    <w:rsid w:val="00A54B7E"/>
    <w:rsid w:val="00A55F56"/>
    <w:rsid w:val="00A578A7"/>
    <w:rsid w:val="00A602DD"/>
    <w:rsid w:val="00A60988"/>
    <w:rsid w:val="00A65A74"/>
    <w:rsid w:val="00A6775E"/>
    <w:rsid w:val="00A71603"/>
    <w:rsid w:val="00A7300B"/>
    <w:rsid w:val="00A745C3"/>
    <w:rsid w:val="00A85B4F"/>
    <w:rsid w:val="00A877DD"/>
    <w:rsid w:val="00A92105"/>
    <w:rsid w:val="00A921B7"/>
    <w:rsid w:val="00A96532"/>
    <w:rsid w:val="00A96829"/>
    <w:rsid w:val="00AA1C43"/>
    <w:rsid w:val="00AA3931"/>
    <w:rsid w:val="00AA40EF"/>
    <w:rsid w:val="00AA523D"/>
    <w:rsid w:val="00AB1BB8"/>
    <w:rsid w:val="00AB57ED"/>
    <w:rsid w:val="00AB6531"/>
    <w:rsid w:val="00AC16A7"/>
    <w:rsid w:val="00AC1AA0"/>
    <w:rsid w:val="00AC2AC8"/>
    <w:rsid w:val="00AC2D2B"/>
    <w:rsid w:val="00AC646C"/>
    <w:rsid w:val="00AD3623"/>
    <w:rsid w:val="00AE0EF6"/>
    <w:rsid w:val="00AE5208"/>
    <w:rsid w:val="00AF0CEB"/>
    <w:rsid w:val="00AF16EB"/>
    <w:rsid w:val="00AF427A"/>
    <w:rsid w:val="00AF4C43"/>
    <w:rsid w:val="00AF5723"/>
    <w:rsid w:val="00AF6429"/>
    <w:rsid w:val="00AF7733"/>
    <w:rsid w:val="00AF7A1F"/>
    <w:rsid w:val="00B021FE"/>
    <w:rsid w:val="00B0331B"/>
    <w:rsid w:val="00B07DAB"/>
    <w:rsid w:val="00B12810"/>
    <w:rsid w:val="00B12B43"/>
    <w:rsid w:val="00B13161"/>
    <w:rsid w:val="00B15A3B"/>
    <w:rsid w:val="00B16F56"/>
    <w:rsid w:val="00B2124C"/>
    <w:rsid w:val="00B21A8D"/>
    <w:rsid w:val="00B22C01"/>
    <w:rsid w:val="00B23FA8"/>
    <w:rsid w:val="00B24D21"/>
    <w:rsid w:val="00B25F22"/>
    <w:rsid w:val="00B271E4"/>
    <w:rsid w:val="00B33A3D"/>
    <w:rsid w:val="00B35F9D"/>
    <w:rsid w:val="00B36C97"/>
    <w:rsid w:val="00B37338"/>
    <w:rsid w:val="00B42761"/>
    <w:rsid w:val="00B51A5A"/>
    <w:rsid w:val="00B51C2C"/>
    <w:rsid w:val="00B5531F"/>
    <w:rsid w:val="00B57AAA"/>
    <w:rsid w:val="00B621EA"/>
    <w:rsid w:val="00B63680"/>
    <w:rsid w:val="00B63714"/>
    <w:rsid w:val="00B67222"/>
    <w:rsid w:val="00B67A4A"/>
    <w:rsid w:val="00B67E0A"/>
    <w:rsid w:val="00B71FF3"/>
    <w:rsid w:val="00B74FF4"/>
    <w:rsid w:val="00B752BF"/>
    <w:rsid w:val="00B76FDA"/>
    <w:rsid w:val="00B80542"/>
    <w:rsid w:val="00B80A81"/>
    <w:rsid w:val="00B80D40"/>
    <w:rsid w:val="00B8133C"/>
    <w:rsid w:val="00B816D5"/>
    <w:rsid w:val="00B8333D"/>
    <w:rsid w:val="00B8553C"/>
    <w:rsid w:val="00B86BF5"/>
    <w:rsid w:val="00B871A9"/>
    <w:rsid w:val="00B900F4"/>
    <w:rsid w:val="00B90476"/>
    <w:rsid w:val="00B94F9B"/>
    <w:rsid w:val="00B97021"/>
    <w:rsid w:val="00BA4030"/>
    <w:rsid w:val="00BA4270"/>
    <w:rsid w:val="00BA78D7"/>
    <w:rsid w:val="00BB1361"/>
    <w:rsid w:val="00BB2E09"/>
    <w:rsid w:val="00BB5FFA"/>
    <w:rsid w:val="00BB7EBC"/>
    <w:rsid w:val="00BC511A"/>
    <w:rsid w:val="00BC56AA"/>
    <w:rsid w:val="00BC65D9"/>
    <w:rsid w:val="00BC7323"/>
    <w:rsid w:val="00BD147C"/>
    <w:rsid w:val="00BD3956"/>
    <w:rsid w:val="00BD5791"/>
    <w:rsid w:val="00BD6390"/>
    <w:rsid w:val="00BE0ECE"/>
    <w:rsid w:val="00BE1FB2"/>
    <w:rsid w:val="00BE32D7"/>
    <w:rsid w:val="00BE5368"/>
    <w:rsid w:val="00BE609C"/>
    <w:rsid w:val="00BE6CEF"/>
    <w:rsid w:val="00BE7649"/>
    <w:rsid w:val="00BE7FD5"/>
    <w:rsid w:val="00BF081A"/>
    <w:rsid w:val="00BF0C68"/>
    <w:rsid w:val="00BF113F"/>
    <w:rsid w:val="00BF13E7"/>
    <w:rsid w:val="00BF6D36"/>
    <w:rsid w:val="00C021CB"/>
    <w:rsid w:val="00C0270B"/>
    <w:rsid w:val="00C033D3"/>
    <w:rsid w:val="00C04115"/>
    <w:rsid w:val="00C0669B"/>
    <w:rsid w:val="00C11C2E"/>
    <w:rsid w:val="00C11C7F"/>
    <w:rsid w:val="00C14299"/>
    <w:rsid w:val="00C155F8"/>
    <w:rsid w:val="00C1568D"/>
    <w:rsid w:val="00C22D25"/>
    <w:rsid w:val="00C34AFE"/>
    <w:rsid w:val="00C35079"/>
    <w:rsid w:val="00C357A1"/>
    <w:rsid w:val="00C47F4F"/>
    <w:rsid w:val="00C53F04"/>
    <w:rsid w:val="00C562AC"/>
    <w:rsid w:val="00C6140B"/>
    <w:rsid w:val="00C675FA"/>
    <w:rsid w:val="00C67872"/>
    <w:rsid w:val="00C7073B"/>
    <w:rsid w:val="00C714C3"/>
    <w:rsid w:val="00C7421A"/>
    <w:rsid w:val="00C74F85"/>
    <w:rsid w:val="00C833CD"/>
    <w:rsid w:val="00C83430"/>
    <w:rsid w:val="00C84595"/>
    <w:rsid w:val="00C86907"/>
    <w:rsid w:val="00C87A2B"/>
    <w:rsid w:val="00C91076"/>
    <w:rsid w:val="00C91949"/>
    <w:rsid w:val="00C94A8A"/>
    <w:rsid w:val="00C9526E"/>
    <w:rsid w:val="00CA1A3A"/>
    <w:rsid w:val="00CA4685"/>
    <w:rsid w:val="00CA6060"/>
    <w:rsid w:val="00CA622B"/>
    <w:rsid w:val="00CA6EC1"/>
    <w:rsid w:val="00CA7A89"/>
    <w:rsid w:val="00CB5278"/>
    <w:rsid w:val="00CC18C3"/>
    <w:rsid w:val="00CC1EA4"/>
    <w:rsid w:val="00CC21B6"/>
    <w:rsid w:val="00CC3A22"/>
    <w:rsid w:val="00CC4DBC"/>
    <w:rsid w:val="00CD1068"/>
    <w:rsid w:val="00CE2651"/>
    <w:rsid w:val="00CE4EB4"/>
    <w:rsid w:val="00CE7B56"/>
    <w:rsid w:val="00CF5547"/>
    <w:rsid w:val="00CF62D5"/>
    <w:rsid w:val="00D00508"/>
    <w:rsid w:val="00D01475"/>
    <w:rsid w:val="00D02077"/>
    <w:rsid w:val="00D0263B"/>
    <w:rsid w:val="00D04036"/>
    <w:rsid w:val="00D06EF4"/>
    <w:rsid w:val="00D2282F"/>
    <w:rsid w:val="00D3057B"/>
    <w:rsid w:val="00D31325"/>
    <w:rsid w:val="00D31443"/>
    <w:rsid w:val="00D31E71"/>
    <w:rsid w:val="00D37745"/>
    <w:rsid w:val="00D402F4"/>
    <w:rsid w:val="00D403B9"/>
    <w:rsid w:val="00D42D94"/>
    <w:rsid w:val="00D4308F"/>
    <w:rsid w:val="00D44274"/>
    <w:rsid w:val="00D44ABB"/>
    <w:rsid w:val="00D4769F"/>
    <w:rsid w:val="00D50A4F"/>
    <w:rsid w:val="00D513A0"/>
    <w:rsid w:val="00D54108"/>
    <w:rsid w:val="00D54A81"/>
    <w:rsid w:val="00D54D7B"/>
    <w:rsid w:val="00D5651F"/>
    <w:rsid w:val="00D60D32"/>
    <w:rsid w:val="00D64F4E"/>
    <w:rsid w:val="00D66B4D"/>
    <w:rsid w:val="00D67D64"/>
    <w:rsid w:val="00D7220E"/>
    <w:rsid w:val="00D724D2"/>
    <w:rsid w:val="00D76540"/>
    <w:rsid w:val="00D80BE5"/>
    <w:rsid w:val="00D81721"/>
    <w:rsid w:val="00D82B28"/>
    <w:rsid w:val="00D83AC8"/>
    <w:rsid w:val="00D9540C"/>
    <w:rsid w:val="00DA2E44"/>
    <w:rsid w:val="00DA3278"/>
    <w:rsid w:val="00DB7658"/>
    <w:rsid w:val="00DD3565"/>
    <w:rsid w:val="00DD7047"/>
    <w:rsid w:val="00DD737D"/>
    <w:rsid w:val="00DD78E3"/>
    <w:rsid w:val="00DE0866"/>
    <w:rsid w:val="00DE4D56"/>
    <w:rsid w:val="00DE4EF1"/>
    <w:rsid w:val="00DE5DBF"/>
    <w:rsid w:val="00DE6FC5"/>
    <w:rsid w:val="00DF27D6"/>
    <w:rsid w:val="00DF32E7"/>
    <w:rsid w:val="00DF3C71"/>
    <w:rsid w:val="00DF656B"/>
    <w:rsid w:val="00E02158"/>
    <w:rsid w:val="00E044E1"/>
    <w:rsid w:val="00E07548"/>
    <w:rsid w:val="00E13136"/>
    <w:rsid w:val="00E14E67"/>
    <w:rsid w:val="00E15043"/>
    <w:rsid w:val="00E200F4"/>
    <w:rsid w:val="00E2511F"/>
    <w:rsid w:val="00E26BF5"/>
    <w:rsid w:val="00E27F2A"/>
    <w:rsid w:val="00E35573"/>
    <w:rsid w:val="00E37D9F"/>
    <w:rsid w:val="00E403BA"/>
    <w:rsid w:val="00E4153D"/>
    <w:rsid w:val="00E4344A"/>
    <w:rsid w:val="00E447BB"/>
    <w:rsid w:val="00E56492"/>
    <w:rsid w:val="00E611F6"/>
    <w:rsid w:val="00E66AFB"/>
    <w:rsid w:val="00E7519E"/>
    <w:rsid w:val="00E764C3"/>
    <w:rsid w:val="00E8542B"/>
    <w:rsid w:val="00E86913"/>
    <w:rsid w:val="00E904FB"/>
    <w:rsid w:val="00E95C1B"/>
    <w:rsid w:val="00E95EE2"/>
    <w:rsid w:val="00EA10E1"/>
    <w:rsid w:val="00EA23B4"/>
    <w:rsid w:val="00EA2589"/>
    <w:rsid w:val="00EA2DA5"/>
    <w:rsid w:val="00EA4366"/>
    <w:rsid w:val="00EA543B"/>
    <w:rsid w:val="00EA7FD2"/>
    <w:rsid w:val="00EB1888"/>
    <w:rsid w:val="00EB25BA"/>
    <w:rsid w:val="00EB6110"/>
    <w:rsid w:val="00EB6BB0"/>
    <w:rsid w:val="00EC6A96"/>
    <w:rsid w:val="00EC7461"/>
    <w:rsid w:val="00EC76A8"/>
    <w:rsid w:val="00ED2CF8"/>
    <w:rsid w:val="00ED33BF"/>
    <w:rsid w:val="00ED4071"/>
    <w:rsid w:val="00ED4CCA"/>
    <w:rsid w:val="00ED5AE5"/>
    <w:rsid w:val="00EE26CD"/>
    <w:rsid w:val="00EE3009"/>
    <w:rsid w:val="00EE53DA"/>
    <w:rsid w:val="00EE73BB"/>
    <w:rsid w:val="00EF04FD"/>
    <w:rsid w:val="00EF2E98"/>
    <w:rsid w:val="00EF36D7"/>
    <w:rsid w:val="00EF51D8"/>
    <w:rsid w:val="00F05117"/>
    <w:rsid w:val="00F05D4D"/>
    <w:rsid w:val="00F05E12"/>
    <w:rsid w:val="00F07CA4"/>
    <w:rsid w:val="00F12D37"/>
    <w:rsid w:val="00F1676C"/>
    <w:rsid w:val="00F215D4"/>
    <w:rsid w:val="00F21FD6"/>
    <w:rsid w:val="00F235C8"/>
    <w:rsid w:val="00F25501"/>
    <w:rsid w:val="00F2714E"/>
    <w:rsid w:val="00F27220"/>
    <w:rsid w:val="00F323B7"/>
    <w:rsid w:val="00F33D50"/>
    <w:rsid w:val="00F4068A"/>
    <w:rsid w:val="00F40D05"/>
    <w:rsid w:val="00F4158F"/>
    <w:rsid w:val="00F41917"/>
    <w:rsid w:val="00F4685F"/>
    <w:rsid w:val="00F471D8"/>
    <w:rsid w:val="00F5361F"/>
    <w:rsid w:val="00F54142"/>
    <w:rsid w:val="00F553F7"/>
    <w:rsid w:val="00F55526"/>
    <w:rsid w:val="00F56F4F"/>
    <w:rsid w:val="00F64181"/>
    <w:rsid w:val="00F645C2"/>
    <w:rsid w:val="00F6574F"/>
    <w:rsid w:val="00F67E64"/>
    <w:rsid w:val="00F724A6"/>
    <w:rsid w:val="00F75024"/>
    <w:rsid w:val="00F75646"/>
    <w:rsid w:val="00F819EF"/>
    <w:rsid w:val="00F83853"/>
    <w:rsid w:val="00F904C7"/>
    <w:rsid w:val="00F9244B"/>
    <w:rsid w:val="00F967DB"/>
    <w:rsid w:val="00F97B97"/>
    <w:rsid w:val="00FA0888"/>
    <w:rsid w:val="00FA492D"/>
    <w:rsid w:val="00FA5DC0"/>
    <w:rsid w:val="00FB188C"/>
    <w:rsid w:val="00FB4837"/>
    <w:rsid w:val="00FB5684"/>
    <w:rsid w:val="00FB5CD4"/>
    <w:rsid w:val="00FB65F0"/>
    <w:rsid w:val="00FC439F"/>
    <w:rsid w:val="00FD5E4D"/>
    <w:rsid w:val="00FE0B7A"/>
    <w:rsid w:val="00FE4BD3"/>
    <w:rsid w:val="00FF030B"/>
    <w:rsid w:val="00FF0B6A"/>
    <w:rsid w:val="00FF391F"/>
    <w:rsid w:val="00FF5FC8"/>
    <w:rsid w:val="00FF773E"/>
    <w:rsid w:val="01510E24"/>
    <w:rsid w:val="026308D6"/>
    <w:rsid w:val="03B06C8B"/>
    <w:rsid w:val="03FFE74D"/>
    <w:rsid w:val="06DD108A"/>
    <w:rsid w:val="0777EF7A"/>
    <w:rsid w:val="07A62D33"/>
    <w:rsid w:val="0BCA3AF3"/>
    <w:rsid w:val="0BD70308"/>
    <w:rsid w:val="0BFF4076"/>
    <w:rsid w:val="0D1A18C5"/>
    <w:rsid w:val="0DBFC133"/>
    <w:rsid w:val="0DF20690"/>
    <w:rsid w:val="0DF46DB9"/>
    <w:rsid w:val="0DFE8725"/>
    <w:rsid w:val="0EDDAB93"/>
    <w:rsid w:val="0FBEDC62"/>
    <w:rsid w:val="0FCE9917"/>
    <w:rsid w:val="0FFB43B6"/>
    <w:rsid w:val="0FFD160E"/>
    <w:rsid w:val="0FFFD05A"/>
    <w:rsid w:val="102E2B3E"/>
    <w:rsid w:val="10704BA7"/>
    <w:rsid w:val="11DB96D1"/>
    <w:rsid w:val="13FFA514"/>
    <w:rsid w:val="148B29AC"/>
    <w:rsid w:val="15EF1980"/>
    <w:rsid w:val="15FDAC2A"/>
    <w:rsid w:val="15FFA919"/>
    <w:rsid w:val="16376A65"/>
    <w:rsid w:val="166FF96D"/>
    <w:rsid w:val="16AD8EC3"/>
    <w:rsid w:val="16F65CBB"/>
    <w:rsid w:val="17B8A820"/>
    <w:rsid w:val="17DFAF61"/>
    <w:rsid w:val="17ECECD9"/>
    <w:rsid w:val="18365A0D"/>
    <w:rsid w:val="187FC5FE"/>
    <w:rsid w:val="189FF624"/>
    <w:rsid w:val="1A897F5E"/>
    <w:rsid w:val="1B395235"/>
    <w:rsid w:val="1B7E1E8B"/>
    <w:rsid w:val="1BFB4750"/>
    <w:rsid w:val="1BFFF88E"/>
    <w:rsid w:val="1C116724"/>
    <w:rsid w:val="1CF54A92"/>
    <w:rsid w:val="1D0FE7F7"/>
    <w:rsid w:val="1E9B9741"/>
    <w:rsid w:val="1EAC07D7"/>
    <w:rsid w:val="1EBC8E66"/>
    <w:rsid w:val="1F1670DB"/>
    <w:rsid w:val="1F7F9FF5"/>
    <w:rsid w:val="1FCF4C11"/>
    <w:rsid w:val="1FD7F8CC"/>
    <w:rsid w:val="1FFEE9DB"/>
    <w:rsid w:val="1FFF3CBC"/>
    <w:rsid w:val="21135E57"/>
    <w:rsid w:val="22F7A337"/>
    <w:rsid w:val="2320710E"/>
    <w:rsid w:val="23EBBCB5"/>
    <w:rsid w:val="24224D88"/>
    <w:rsid w:val="25C26B32"/>
    <w:rsid w:val="25FE96E9"/>
    <w:rsid w:val="269588FE"/>
    <w:rsid w:val="26D47DAF"/>
    <w:rsid w:val="26F1CAAB"/>
    <w:rsid w:val="26FF77A6"/>
    <w:rsid w:val="27FAF26A"/>
    <w:rsid w:val="2A9580D8"/>
    <w:rsid w:val="2B7DABFB"/>
    <w:rsid w:val="2C5A1BD3"/>
    <w:rsid w:val="2CDC6E0D"/>
    <w:rsid w:val="2CE33F5E"/>
    <w:rsid w:val="2E6FE216"/>
    <w:rsid w:val="2EAF8143"/>
    <w:rsid w:val="2EF3FD4C"/>
    <w:rsid w:val="2EFB2324"/>
    <w:rsid w:val="2F212EDA"/>
    <w:rsid w:val="2F5B7B4D"/>
    <w:rsid w:val="2F7B581A"/>
    <w:rsid w:val="2F9E6E3A"/>
    <w:rsid w:val="2FB3D95F"/>
    <w:rsid w:val="2FBD725A"/>
    <w:rsid w:val="2FBE5F0F"/>
    <w:rsid w:val="2FD737EF"/>
    <w:rsid w:val="2FDFF3D1"/>
    <w:rsid w:val="2FF722CD"/>
    <w:rsid w:val="2FFB630B"/>
    <w:rsid w:val="303738BB"/>
    <w:rsid w:val="30BB1C44"/>
    <w:rsid w:val="3155E89B"/>
    <w:rsid w:val="318B2A22"/>
    <w:rsid w:val="32963B96"/>
    <w:rsid w:val="331F8413"/>
    <w:rsid w:val="33B46690"/>
    <w:rsid w:val="33DF6363"/>
    <w:rsid w:val="33FF2F1D"/>
    <w:rsid w:val="35FCED87"/>
    <w:rsid w:val="35FF0144"/>
    <w:rsid w:val="36E31780"/>
    <w:rsid w:val="36FD6062"/>
    <w:rsid w:val="370FDC87"/>
    <w:rsid w:val="3744CEC9"/>
    <w:rsid w:val="377FAA1C"/>
    <w:rsid w:val="37A72BB1"/>
    <w:rsid w:val="37D1F559"/>
    <w:rsid w:val="37D7042B"/>
    <w:rsid w:val="37DFF5E3"/>
    <w:rsid w:val="37F44B8C"/>
    <w:rsid w:val="37F7D8FD"/>
    <w:rsid w:val="37FB20E7"/>
    <w:rsid w:val="38655E61"/>
    <w:rsid w:val="38FF4501"/>
    <w:rsid w:val="39AF42FA"/>
    <w:rsid w:val="39FE2A87"/>
    <w:rsid w:val="3A7F7023"/>
    <w:rsid w:val="3A877194"/>
    <w:rsid w:val="3AF9FFF9"/>
    <w:rsid w:val="3AFE62FC"/>
    <w:rsid w:val="3B2F3854"/>
    <w:rsid w:val="3B61568A"/>
    <w:rsid w:val="3B7DD10A"/>
    <w:rsid w:val="3B9E149C"/>
    <w:rsid w:val="3BDCD9D7"/>
    <w:rsid w:val="3BF514B3"/>
    <w:rsid w:val="3BFEB270"/>
    <w:rsid w:val="3BFF97FE"/>
    <w:rsid w:val="3BFFD5FA"/>
    <w:rsid w:val="3C5DB783"/>
    <w:rsid w:val="3C6D9CD1"/>
    <w:rsid w:val="3C906F32"/>
    <w:rsid w:val="3CFFCE1A"/>
    <w:rsid w:val="3D4F2398"/>
    <w:rsid w:val="3D5E2924"/>
    <w:rsid w:val="3D5EE373"/>
    <w:rsid w:val="3D5FEBB6"/>
    <w:rsid w:val="3D7564C6"/>
    <w:rsid w:val="3D7EB5F2"/>
    <w:rsid w:val="3DA9735A"/>
    <w:rsid w:val="3DC70F05"/>
    <w:rsid w:val="3DDA514B"/>
    <w:rsid w:val="3DE9C5C0"/>
    <w:rsid w:val="3DEA870F"/>
    <w:rsid w:val="3DF41C36"/>
    <w:rsid w:val="3DF94AF0"/>
    <w:rsid w:val="3E7FFD00"/>
    <w:rsid w:val="3EA6E995"/>
    <w:rsid w:val="3EAF415D"/>
    <w:rsid w:val="3EBF4DB1"/>
    <w:rsid w:val="3ECEBB66"/>
    <w:rsid w:val="3EF59CA5"/>
    <w:rsid w:val="3EF72024"/>
    <w:rsid w:val="3EFD90D1"/>
    <w:rsid w:val="3EFF6174"/>
    <w:rsid w:val="3EFF8D1A"/>
    <w:rsid w:val="3F55909D"/>
    <w:rsid w:val="3F5FAA20"/>
    <w:rsid w:val="3F8D8EAE"/>
    <w:rsid w:val="3F9510AC"/>
    <w:rsid w:val="3F9E5F2C"/>
    <w:rsid w:val="3F9F57E2"/>
    <w:rsid w:val="3FA3D87D"/>
    <w:rsid w:val="3FAA10BE"/>
    <w:rsid w:val="3FB6CDA8"/>
    <w:rsid w:val="3FBB8255"/>
    <w:rsid w:val="3FBD1B41"/>
    <w:rsid w:val="3FBF3092"/>
    <w:rsid w:val="3FD5F146"/>
    <w:rsid w:val="3FDAA791"/>
    <w:rsid w:val="3FDB2747"/>
    <w:rsid w:val="3FDE48A4"/>
    <w:rsid w:val="3FDF05F0"/>
    <w:rsid w:val="3FDFAA41"/>
    <w:rsid w:val="3FEE59DC"/>
    <w:rsid w:val="3FF33CE8"/>
    <w:rsid w:val="3FFD26EA"/>
    <w:rsid w:val="3FFF84E1"/>
    <w:rsid w:val="3FFFA202"/>
    <w:rsid w:val="41674BE2"/>
    <w:rsid w:val="4256CB99"/>
    <w:rsid w:val="42A81132"/>
    <w:rsid w:val="4395FF4A"/>
    <w:rsid w:val="44B76729"/>
    <w:rsid w:val="452A18A3"/>
    <w:rsid w:val="46431C73"/>
    <w:rsid w:val="465FA892"/>
    <w:rsid w:val="46A05E6B"/>
    <w:rsid w:val="471CAE20"/>
    <w:rsid w:val="48111527"/>
    <w:rsid w:val="495FD6A1"/>
    <w:rsid w:val="49DEA757"/>
    <w:rsid w:val="4AB61EE1"/>
    <w:rsid w:val="4ACD54D9"/>
    <w:rsid w:val="4AECBBA1"/>
    <w:rsid w:val="4AFF321C"/>
    <w:rsid w:val="4B0B079B"/>
    <w:rsid w:val="4B160191"/>
    <w:rsid w:val="4BFB9A45"/>
    <w:rsid w:val="4BFE3C84"/>
    <w:rsid w:val="4BFE762A"/>
    <w:rsid w:val="4BFEBDAE"/>
    <w:rsid w:val="4BFF7D84"/>
    <w:rsid w:val="4CFEEA07"/>
    <w:rsid w:val="4CFF9652"/>
    <w:rsid w:val="4DF7C8EC"/>
    <w:rsid w:val="4DFB9850"/>
    <w:rsid w:val="4E7E6BBF"/>
    <w:rsid w:val="4E9FE00C"/>
    <w:rsid w:val="4F5F6469"/>
    <w:rsid w:val="4FBFB8F8"/>
    <w:rsid w:val="4FF9437B"/>
    <w:rsid w:val="4FFF899B"/>
    <w:rsid w:val="4FFFE767"/>
    <w:rsid w:val="503939C6"/>
    <w:rsid w:val="51D9B580"/>
    <w:rsid w:val="5206273A"/>
    <w:rsid w:val="52DFB329"/>
    <w:rsid w:val="53DD3E3A"/>
    <w:rsid w:val="53F7F7DB"/>
    <w:rsid w:val="5473280F"/>
    <w:rsid w:val="55082513"/>
    <w:rsid w:val="55B5802A"/>
    <w:rsid w:val="55FA4B8C"/>
    <w:rsid w:val="55FE585D"/>
    <w:rsid w:val="56677412"/>
    <w:rsid w:val="56AF7182"/>
    <w:rsid w:val="56BC15D1"/>
    <w:rsid w:val="56BCFB2C"/>
    <w:rsid w:val="56E6562F"/>
    <w:rsid w:val="56F9B1A7"/>
    <w:rsid w:val="56FDEE87"/>
    <w:rsid w:val="577743EB"/>
    <w:rsid w:val="57B9F54B"/>
    <w:rsid w:val="57DFFDCB"/>
    <w:rsid w:val="57E331DA"/>
    <w:rsid w:val="57F77F8A"/>
    <w:rsid w:val="57FFB277"/>
    <w:rsid w:val="57FFF0DF"/>
    <w:rsid w:val="58376253"/>
    <w:rsid w:val="58F9984F"/>
    <w:rsid w:val="590F57F3"/>
    <w:rsid w:val="591A3EA7"/>
    <w:rsid w:val="59370667"/>
    <w:rsid w:val="59517881"/>
    <w:rsid w:val="596F0F82"/>
    <w:rsid w:val="597EF3CB"/>
    <w:rsid w:val="59BFF27F"/>
    <w:rsid w:val="59D5418B"/>
    <w:rsid w:val="59FF8476"/>
    <w:rsid w:val="5A3E9E40"/>
    <w:rsid w:val="5A7F38C9"/>
    <w:rsid w:val="5AE79972"/>
    <w:rsid w:val="5AFFD215"/>
    <w:rsid w:val="5B164C1B"/>
    <w:rsid w:val="5B779745"/>
    <w:rsid w:val="5B7F0A8F"/>
    <w:rsid w:val="5B9FFF0D"/>
    <w:rsid w:val="5BABD99D"/>
    <w:rsid w:val="5BE3FB89"/>
    <w:rsid w:val="5BFB80D4"/>
    <w:rsid w:val="5BFD07C3"/>
    <w:rsid w:val="5CCF4EA9"/>
    <w:rsid w:val="5CFF10C1"/>
    <w:rsid w:val="5D3B5BED"/>
    <w:rsid w:val="5D5F46DB"/>
    <w:rsid w:val="5D7129C1"/>
    <w:rsid w:val="5DAEF515"/>
    <w:rsid w:val="5DE575DE"/>
    <w:rsid w:val="5DEF3ABD"/>
    <w:rsid w:val="5DF6EF91"/>
    <w:rsid w:val="5DFA0B78"/>
    <w:rsid w:val="5DFE7D1E"/>
    <w:rsid w:val="5DFFEC11"/>
    <w:rsid w:val="5E356FB8"/>
    <w:rsid w:val="5ECAD5C1"/>
    <w:rsid w:val="5EE996AC"/>
    <w:rsid w:val="5EEE4AD3"/>
    <w:rsid w:val="5EFD6C2A"/>
    <w:rsid w:val="5EFF9D18"/>
    <w:rsid w:val="5F277000"/>
    <w:rsid w:val="5F36EB70"/>
    <w:rsid w:val="5F556259"/>
    <w:rsid w:val="5F5ADBF0"/>
    <w:rsid w:val="5F6668FC"/>
    <w:rsid w:val="5F7F03FB"/>
    <w:rsid w:val="5F7F0844"/>
    <w:rsid w:val="5F9EBD7C"/>
    <w:rsid w:val="5F9F0E0F"/>
    <w:rsid w:val="5FA7AEA2"/>
    <w:rsid w:val="5FCE63F1"/>
    <w:rsid w:val="5FD76133"/>
    <w:rsid w:val="5FD7BE27"/>
    <w:rsid w:val="5FDA8ED7"/>
    <w:rsid w:val="5FDDDB9A"/>
    <w:rsid w:val="5FDFB93F"/>
    <w:rsid w:val="5FEC9476"/>
    <w:rsid w:val="5FEE1D93"/>
    <w:rsid w:val="5FF56D8B"/>
    <w:rsid w:val="5FF974B2"/>
    <w:rsid w:val="5FFB10F0"/>
    <w:rsid w:val="5FFB69F9"/>
    <w:rsid w:val="5FFF6E7F"/>
    <w:rsid w:val="5FFFF0AA"/>
    <w:rsid w:val="61BF5EF3"/>
    <w:rsid w:val="62FBF96C"/>
    <w:rsid w:val="63CBE1C5"/>
    <w:rsid w:val="63FFE4D9"/>
    <w:rsid w:val="644E6DE9"/>
    <w:rsid w:val="647D6E81"/>
    <w:rsid w:val="64A376FF"/>
    <w:rsid w:val="655E9BE6"/>
    <w:rsid w:val="65B5A7E4"/>
    <w:rsid w:val="666B29A4"/>
    <w:rsid w:val="66FFA724"/>
    <w:rsid w:val="67236EE5"/>
    <w:rsid w:val="677F4A42"/>
    <w:rsid w:val="678E4F7F"/>
    <w:rsid w:val="67DFD3FE"/>
    <w:rsid w:val="67FE99D4"/>
    <w:rsid w:val="67FEF281"/>
    <w:rsid w:val="67FF90CB"/>
    <w:rsid w:val="69295A3A"/>
    <w:rsid w:val="69BA33CD"/>
    <w:rsid w:val="69BFF8F0"/>
    <w:rsid w:val="6A5B6198"/>
    <w:rsid w:val="6AAFCB32"/>
    <w:rsid w:val="6BAE578E"/>
    <w:rsid w:val="6BDFABC8"/>
    <w:rsid w:val="6BF49B6D"/>
    <w:rsid w:val="6BFDAD72"/>
    <w:rsid w:val="6C7A3C5F"/>
    <w:rsid w:val="6CBF9AA2"/>
    <w:rsid w:val="6CDB2FE5"/>
    <w:rsid w:val="6CE47200"/>
    <w:rsid w:val="6D0922A9"/>
    <w:rsid w:val="6D0A0503"/>
    <w:rsid w:val="6D7FD91D"/>
    <w:rsid w:val="6DA3983E"/>
    <w:rsid w:val="6DD4DDF6"/>
    <w:rsid w:val="6DF95127"/>
    <w:rsid w:val="6DFCE999"/>
    <w:rsid w:val="6DFE1C9F"/>
    <w:rsid w:val="6DFF7169"/>
    <w:rsid w:val="6E3F33A7"/>
    <w:rsid w:val="6E999D0A"/>
    <w:rsid w:val="6EB3EACD"/>
    <w:rsid w:val="6EC780D5"/>
    <w:rsid w:val="6ECF6522"/>
    <w:rsid w:val="6EDFC209"/>
    <w:rsid w:val="6EFF6211"/>
    <w:rsid w:val="6EFFE7DE"/>
    <w:rsid w:val="6F5F823F"/>
    <w:rsid w:val="6F79A10A"/>
    <w:rsid w:val="6FADD26A"/>
    <w:rsid w:val="6FAE5865"/>
    <w:rsid w:val="6FAF66DF"/>
    <w:rsid w:val="6FB46951"/>
    <w:rsid w:val="6FB625CE"/>
    <w:rsid w:val="6FBC39F4"/>
    <w:rsid w:val="6FBC5419"/>
    <w:rsid w:val="6FBE27A8"/>
    <w:rsid w:val="6FD3480D"/>
    <w:rsid w:val="6FD757A2"/>
    <w:rsid w:val="6FDF18BB"/>
    <w:rsid w:val="6FF75860"/>
    <w:rsid w:val="6FF96762"/>
    <w:rsid w:val="6FF98BB5"/>
    <w:rsid w:val="6FFA20EB"/>
    <w:rsid w:val="6FFD847F"/>
    <w:rsid w:val="6FFDA21C"/>
    <w:rsid w:val="6FFE108E"/>
    <w:rsid w:val="6FFEC7F8"/>
    <w:rsid w:val="70D88DDE"/>
    <w:rsid w:val="70F6BD5D"/>
    <w:rsid w:val="7171BBA5"/>
    <w:rsid w:val="71969044"/>
    <w:rsid w:val="72CF7DB4"/>
    <w:rsid w:val="72FFFE1E"/>
    <w:rsid w:val="732EBA33"/>
    <w:rsid w:val="735D49B6"/>
    <w:rsid w:val="73742715"/>
    <w:rsid w:val="73781BAB"/>
    <w:rsid w:val="73EB8465"/>
    <w:rsid w:val="73F9C4A6"/>
    <w:rsid w:val="73FB0FA1"/>
    <w:rsid w:val="73FBD23A"/>
    <w:rsid w:val="73FDFF92"/>
    <w:rsid w:val="73FF75BA"/>
    <w:rsid w:val="73FFCA37"/>
    <w:rsid w:val="740926FE"/>
    <w:rsid w:val="743A02B8"/>
    <w:rsid w:val="74BFAF9A"/>
    <w:rsid w:val="74E95860"/>
    <w:rsid w:val="74EE3D16"/>
    <w:rsid w:val="75193C5D"/>
    <w:rsid w:val="75737843"/>
    <w:rsid w:val="7577E20C"/>
    <w:rsid w:val="759A2D2F"/>
    <w:rsid w:val="75AED320"/>
    <w:rsid w:val="75B8B0D2"/>
    <w:rsid w:val="75BE49E6"/>
    <w:rsid w:val="75C479AD"/>
    <w:rsid w:val="75DBE8E0"/>
    <w:rsid w:val="75DF5ED6"/>
    <w:rsid w:val="75E39439"/>
    <w:rsid w:val="75E81681"/>
    <w:rsid w:val="75F776D1"/>
    <w:rsid w:val="75FAFD7A"/>
    <w:rsid w:val="75FB4AD1"/>
    <w:rsid w:val="767A0E3C"/>
    <w:rsid w:val="767D38CE"/>
    <w:rsid w:val="767E26C5"/>
    <w:rsid w:val="76AF94CE"/>
    <w:rsid w:val="76B56D56"/>
    <w:rsid w:val="76BF8CBE"/>
    <w:rsid w:val="76C72B3D"/>
    <w:rsid w:val="76D96608"/>
    <w:rsid w:val="76DF996B"/>
    <w:rsid w:val="76E50E02"/>
    <w:rsid w:val="76F7DE00"/>
    <w:rsid w:val="76FD7C40"/>
    <w:rsid w:val="76FED311"/>
    <w:rsid w:val="772EB231"/>
    <w:rsid w:val="775F7D13"/>
    <w:rsid w:val="77672409"/>
    <w:rsid w:val="77737D40"/>
    <w:rsid w:val="77766F1C"/>
    <w:rsid w:val="777F4C17"/>
    <w:rsid w:val="7795276B"/>
    <w:rsid w:val="779F05CF"/>
    <w:rsid w:val="77A729A6"/>
    <w:rsid w:val="77B538B6"/>
    <w:rsid w:val="77BA5FB8"/>
    <w:rsid w:val="77BF95E7"/>
    <w:rsid w:val="77BFD103"/>
    <w:rsid w:val="77C6BD9A"/>
    <w:rsid w:val="77DE332B"/>
    <w:rsid w:val="77E688E8"/>
    <w:rsid w:val="77EFB7BF"/>
    <w:rsid w:val="77F50BAB"/>
    <w:rsid w:val="77F5405E"/>
    <w:rsid w:val="77F75F24"/>
    <w:rsid w:val="77F77915"/>
    <w:rsid w:val="783F7C29"/>
    <w:rsid w:val="78544B24"/>
    <w:rsid w:val="7873D3B6"/>
    <w:rsid w:val="788E1DE7"/>
    <w:rsid w:val="78BE1390"/>
    <w:rsid w:val="79751AA8"/>
    <w:rsid w:val="79FF059C"/>
    <w:rsid w:val="7A53590A"/>
    <w:rsid w:val="7A5BFCD5"/>
    <w:rsid w:val="7A5F7F69"/>
    <w:rsid w:val="7A7FC263"/>
    <w:rsid w:val="7AA73457"/>
    <w:rsid w:val="7ABAE613"/>
    <w:rsid w:val="7ABDEACE"/>
    <w:rsid w:val="7ABFDC62"/>
    <w:rsid w:val="7AEBAE38"/>
    <w:rsid w:val="7AEDE2ED"/>
    <w:rsid w:val="7AEE6353"/>
    <w:rsid w:val="7AF72B8B"/>
    <w:rsid w:val="7AFF2C47"/>
    <w:rsid w:val="7B177EF0"/>
    <w:rsid w:val="7B3F4A7D"/>
    <w:rsid w:val="7B3FCD55"/>
    <w:rsid w:val="7B65190D"/>
    <w:rsid w:val="7B7C9183"/>
    <w:rsid w:val="7B7D7866"/>
    <w:rsid w:val="7B7F761A"/>
    <w:rsid w:val="7B8F0757"/>
    <w:rsid w:val="7B9F6DEB"/>
    <w:rsid w:val="7BA34E7B"/>
    <w:rsid w:val="7BB3FE93"/>
    <w:rsid w:val="7BBF4153"/>
    <w:rsid w:val="7BD5E40A"/>
    <w:rsid w:val="7BD9D057"/>
    <w:rsid w:val="7BDC019F"/>
    <w:rsid w:val="7BEE3785"/>
    <w:rsid w:val="7BEF9623"/>
    <w:rsid w:val="7BF3B243"/>
    <w:rsid w:val="7BFADB45"/>
    <w:rsid w:val="7BFD6CD8"/>
    <w:rsid w:val="7BFE88DC"/>
    <w:rsid w:val="7BFF239F"/>
    <w:rsid w:val="7BFF5B4C"/>
    <w:rsid w:val="7BFF68BC"/>
    <w:rsid w:val="7C6960E0"/>
    <w:rsid w:val="7C930747"/>
    <w:rsid w:val="7C9D01A5"/>
    <w:rsid w:val="7CBF7FD9"/>
    <w:rsid w:val="7CDFB087"/>
    <w:rsid w:val="7CEFE4C0"/>
    <w:rsid w:val="7CF37EB4"/>
    <w:rsid w:val="7CF7A80B"/>
    <w:rsid w:val="7CF7BC2A"/>
    <w:rsid w:val="7CFB9251"/>
    <w:rsid w:val="7CFF143E"/>
    <w:rsid w:val="7CFF2EE4"/>
    <w:rsid w:val="7CFF8370"/>
    <w:rsid w:val="7CFFCF72"/>
    <w:rsid w:val="7D0EE118"/>
    <w:rsid w:val="7D6F570F"/>
    <w:rsid w:val="7D8B1C7C"/>
    <w:rsid w:val="7D950148"/>
    <w:rsid w:val="7DB7C90B"/>
    <w:rsid w:val="7DBA76D2"/>
    <w:rsid w:val="7DBF21D5"/>
    <w:rsid w:val="7DD7672C"/>
    <w:rsid w:val="7DDFF640"/>
    <w:rsid w:val="7DEB2A4B"/>
    <w:rsid w:val="7DF23F0A"/>
    <w:rsid w:val="7DFB14CA"/>
    <w:rsid w:val="7DFDA7D5"/>
    <w:rsid w:val="7DFE3FA2"/>
    <w:rsid w:val="7DFF2894"/>
    <w:rsid w:val="7E0D5897"/>
    <w:rsid w:val="7E27E16B"/>
    <w:rsid w:val="7E3F70FF"/>
    <w:rsid w:val="7E5FE1CA"/>
    <w:rsid w:val="7E6DBFD8"/>
    <w:rsid w:val="7E76E959"/>
    <w:rsid w:val="7E7A1D5A"/>
    <w:rsid w:val="7E7B4EE7"/>
    <w:rsid w:val="7E7FA02A"/>
    <w:rsid w:val="7E9E1B38"/>
    <w:rsid w:val="7E9F3B66"/>
    <w:rsid w:val="7EACB195"/>
    <w:rsid w:val="7EBD0F8D"/>
    <w:rsid w:val="7EBF0ECC"/>
    <w:rsid w:val="7EDD24D4"/>
    <w:rsid w:val="7EE778CB"/>
    <w:rsid w:val="7EE9DEEE"/>
    <w:rsid w:val="7EEFFA50"/>
    <w:rsid w:val="7EF5955A"/>
    <w:rsid w:val="7EF927D9"/>
    <w:rsid w:val="7EFB101B"/>
    <w:rsid w:val="7EFF4281"/>
    <w:rsid w:val="7EFF579A"/>
    <w:rsid w:val="7EFF8A41"/>
    <w:rsid w:val="7F16DDFA"/>
    <w:rsid w:val="7F175D9E"/>
    <w:rsid w:val="7F32955F"/>
    <w:rsid w:val="7F3D3E18"/>
    <w:rsid w:val="7F3FBC8F"/>
    <w:rsid w:val="7F5F5C70"/>
    <w:rsid w:val="7F5FCE3E"/>
    <w:rsid w:val="7F6E2985"/>
    <w:rsid w:val="7F6F0370"/>
    <w:rsid w:val="7F6F676F"/>
    <w:rsid w:val="7F7774A9"/>
    <w:rsid w:val="7F7A6771"/>
    <w:rsid w:val="7F7B8227"/>
    <w:rsid w:val="7F7DAD92"/>
    <w:rsid w:val="7F7E8D07"/>
    <w:rsid w:val="7F7EF487"/>
    <w:rsid w:val="7F7FCF1B"/>
    <w:rsid w:val="7F7FF08A"/>
    <w:rsid w:val="7F7FF0AF"/>
    <w:rsid w:val="7F8E8B75"/>
    <w:rsid w:val="7F9AF039"/>
    <w:rsid w:val="7FAB0E6A"/>
    <w:rsid w:val="7FB6F383"/>
    <w:rsid w:val="7FB7A4EF"/>
    <w:rsid w:val="7FB94578"/>
    <w:rsid w:val="7FBB7542"/>
    <w:rsid w:val="7FBE2708"/>
    <w:rsid w:val="7FBE698F"/>
    <w:rsid w:val="7FBF2BD8"/>
    <w:rsid w:val="7FBF4978"/>
    <w:rsid w:val="7FBFB9B9"/>
    <w:rsid w:val="7FCD6C22"/>
    <w:rsid w:val="7FCFA37E"/>
    <w:rsid w:val="7FCFE599"/>
    <w:rsid w:val="7FD53A33"/>
    <w:rsid w:val="7FD724F1"/>
    <w:rsid w:val="7FD9973C"/>
    <w:rsid w:val="7FDAEA3D"/>
    <w:rsid w:val="7FDD553D"/>
    <w:rsid w:val="7FDDA375"/>
    <w:rsid w:val="7FDEBAC2"/>
    <w:rsid w:val="7FDF16B3"/>
    <w:rsid w:val="7FDF616A"/>
    <w:rsid w:val="7FDF7761"/>
    <w:rsid w:val="7FDF8BAC"/>
    <w:rsid w:val="7FE7349E"/>
    <w:rsid w:val="7FE73E91"/>
    <w:rsid w:val="7FE9FDC0"/>
    <w:rsid w:val="7FEA8FA4"/>
    <w:rsid w:val="7FEB3928"/>
    <w:rsid w:val="7FEECB95"/>
    <w:rsid w:val="7FEF1962"/>
    <w:rsid w:val="7FEF329A"/>
    <w:rsid w:val="7FEF8AB6"/>
    <w:rsid w:val="7FEFD026"/>
    <w:rsid w:val="7FF54F5E"/>
    <w:rsid w:val="7FF57CBF"/>
    <w:rsid w:val="7FF5B17E"/>
    <w:rsid w:val="7FF77E83"/>
    <w:rsid w:val="7FF78DB9"/>
    <w:rsid w:val="7FF9C8FA"/>
    <w:rsid w:val="7FF9D0D9"/>
    <w:rsid w:val="7FFA4FB0"/>
    <w:rsid w:val="7FFBBCCF"/>
    <w:rsid w:val="7FFBC2A2"/>
    <w:rsid w:val="7FFBD4BD"/>
    <w:rsid w:val="7FFCFA71"/>
    <w:rsid w:val="7FFD3AED"/>
    <w:rsid w:val="7FFD4454"/>
    <w:rsid w:val="7FFE2F24"/>
    <w:rsid w:val="7FFE4CEA"/>
    <w:rsid w:val="7FFE6970"/>
    <w:rsid w:val="7FFE8D84"/>
    <w:rsid w:val="7FFF18AF"/>
    <w:rsid w:val="7FFF5E8B"/>
    <w:rsid w:val="7FFF69BF"/>
    <w:rsid w:val="7FFF8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31AA0"/>
  <w15:docId w15:val="{C1CE6E4C-6752-4C93-A46C-2E9E847A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spacing w:after="160" w:line="278" w:lineRule="auto"/>
      <w:ind w:firstLineChars="200" w:firstLine="200"/>
      <w:jc w:val="both"/>
    </w:pPr>
    <w:rPr>
      <w:rFonts w:ascii="仿宋" w:eastAsia="仿宋" w:hAnsi="仿宋" w:cs="Times New Roman (正文 CS 字体)"/>
      <w:kern w:val="2"/>
      <w:sz w:val="21"/>
      <w:szCs w:val="24"/>
    </w:rPr>
  </w:style>
  <w:style w:type="paragraph" w:styleId="1">
    <w:name w:val="heading 1"/>
    <w:basedOn w:val="a"/>
    <w:next w:val="a"/>
    <w:link w:val="10"/>
    <w:uiPriority w:val="9"/>
    <w:qFormat/>
    <w:pPr>
      <w:ind w:firstLine="440"/>
      <w:jc w:val="left"/>
      <w:outlineLvl w:val="0"/>
    </w:pPr>
    <w:rPr>
      <w:rFonts w:ascii="黑体" w:eastAsia="黑体" w:hAnsi="黑体" w:cs="微软雅黑"/>
      <w:bCs/>
      <w:kern w:val="44"/>
      <w:sz w:val="22"/>
      <w:szCs w:val="22"/>
    </w:rPr>
  </w:style>
  <w:style w:type="paragraph" w:styleId="2">
    <w:name w:val="heading 2"/>
    <w:basedOn w:val="a"/>
    <w:next w:val="a"/>
    <w:link w:val="20"/>
    <w:uiPriority w:val="9"/>
    <w:unhideWhenUsed/>
    <w:qFormat/>
    <w:pPr>
      <w:jc w:val="left"/>
      <w:outlineLvl w:val="1"/>
    </w:pPr>
    <w:rPr>
      <w:rFonts w:asciiTheme="majorHAnsi" w:eastAsia="楷体" w:hAnsiTheme="majorHAnsi" w:cstheme="majorBidi"/>
      <w:bCs/>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Cs w:val="32"/>
    </w:rPr>
  </w:style>
  <w:style w:type="paragraph" w:styleId="4">
    <w:name w:val="heading 4"/>
    <w:basedOn w:val="a"/>
    <w:next w:val="a"/>
    <w:link w:val="40"/>
    <w:uiPriority w:val="9"/>
    <w:semiHidden/>
    <w:unhideWhenUsed/>
    <w:qFormat/>
    <w:pPr>
      <w:keepNext/>
      <w:keepLines/>
      <w:spacing w:before="80" w:after="40"/>
      <w:ind w:firstLineChars="0" w:firstLine="0"/>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pPr>
      <w:keepNext/>
      <w:keepLines/>
      <w:spacing w:before="80" w:after="40"/>
      <w:ind w:firstLineChars="0" w:firstLine="0"/>
      <w:jc w:val="left"/>
      <w:outlineLvl w:val="4"/>
    </w:pPr>
    <w:rPr>
      <w:rFonts w:asciiTheme="minorHAnsi" w:eastAsiaTheme="minorEastAsia" w:hAnsiTheme="minorHAnsi" w:cstheme="majorBidi"/>
      <w:color w:val="2F5496" w:themeColor="accent1" w:themeShade="BF"/>
      <w:sz w:val="24"/>
      <w14:ligatures w14:val="standardContextual"/>
    </w:rPr>
  </w:style>
  <w:style w:type="paragraph" w:styleId="6">
    <w:name w:val="heading 6"/>
    <w:basedOn w:val="a"/>
    <w:next w:val="a"/>
    <w:link w:val="60"/>
    <w:uiPriority w:val="9"/>
    <w:semiHidden/>
    <w:unhideWhenUsed/>
    <w:qFormat/>
    <w:pPr>
      <w:keepNext/>
      <w:keepLines/>
      <w:spacing w:before="40"/>
      <w:ind w:firstLineChars="0" w:firstLine="0"/>
      <w:jc w:val="left"/>
      <w:outlineLvl w:val="5"/>
    </w:pPr>
    <w:rPr>
      <w:rFonts w:asciiTheme="minorHAnsi" w:eastAsiaTheme="minorEastAsia" w:hAnsiTheme="minorHAnsi" w:cstheme="majorBidi"/>
      <w:b/>
      <w:bCs/>
      <w:color w:val="2F5496" w:themeColor="accent1" w:themeShade="BF"/>
      <w:sz w:val="22"/>
      <w14:ligatures w14:val="standardContextual"/>
    </w:rPr>
  </w:style>
  <w:style w:type="paragraph" w:styleId="7">
    <w:name w:val="heading 7"/>
    <w:basedOn w:val="a"/>
    <w:next w:val="a"/>
    <w:link w:val="70"/>
    <w:uiPriority w:val="9"/>
    <w:semiHidden/>
    <w:unhideWhenUsed/>
    <w:qFormat/>
    <w:pPr>
      <w:keepNext/>
      <w:keepLines/>
      <w:spacing w:before="40"/>
      <w:ind w:firstLineChars="0" w:firstLine="0"/>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pPr>
      <w:keepNext/>
      <w:keepLines/>
      <w:ind w:firstLineChars="0" w:firstLine="0"/>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pPr>
      <w:keepNext/>
      <w:keepLines/>
      <w:ind w:firstLineChars="0" w:firstLine="0"/>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uiPriority w:val="99"/>
    <w:qFormat/>
    <w:pPr>
      <w:overflowPunct w:val="0"/>
      <w:topLinePunct/>
      <w:spacing w:line="240" w:lineRule="auto"/>
    </w:pPr>
    <w:rPr>
      <w:rFonts w:ascii="宋体" w:eastAsia="仿宋_GB2312" w:hAnsi="Courier New" w:cs="宋体"/>
      <w:szCs w:val="21"/>
    </w:rPr>
  </w:style>
  <w:style w:type="paragraph" w:styleId="a4">
    <w:name w:val="annotation text"/>
    <w:basedOn w:val="a"/>
    <w:link w:val="a5"/>
    <w:uiPriority w:val="99"/>
    <w:unhideWhenUsed/>
    <w:qFormat/>
    <w:pPr>
      <w:jc w:val="left"/>
    </w:pPr>
  </w:style>
  <w:style w:type="paragraph" w:styleId="TOC3">
    <w:name w:val="toc 3"/>
    <w:basedOn w:val="a"/>
    <w:next w:val="a"/>
    <w:uiPriority w:val="39"/>
    <w:semiHidden/>
    <w:unhideWhenUsed/>
    <w:qFormat/>
    <w:pPr>
      <w:ind w:leftChars="400" w:left="840"/>
    </w:pPr>
  </w:style>
  <w:style w:type="paragraph" w:styleId="a6">
    <w:name w:val="Balloon Text"/>
    <w:basedOn w:val="a"/>
    <w:link w:val="a7"/>
    <w:uiPriority w:val="99"/>
    <w:semiHidden/>
    <w:unhideWhenUsed/>
    <w:qFormat/>
    <w:rPr>
      <w:rFonts w:ascii="宋体" w:eastAsia="宋体"/>
      <w:sz w:val="18"/>
      <w:szCs w:val="18"/>
    </w:rPr>
  </w:style>
  <w:style w:type="paragraph" w:styleId="a8">
    <w:name w:val="footer"/>
    <w:basedOn w:val="a"/>
    <w:link w:val="a9"/>
    <w:uiPriority w:val="99"/>
    <w:unhideWhenUsed/>
    <w:qFormat/>
    <w:pPr>
      <w:tabs>
        <w:tab w:val="center" w:pos="4153"/>
        <w:tab w:val="right" w:pos="8306"/>
      </w:tabs>
      <w:snapToGrid w:val="0"/>
      <w:spacing w:line="240" w:lineRule="atLeast"/>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TOC1">
    <w:name w:val="toc 1"/>
    <w:basedOn w:val="a"/>
    <w:next w:val="a"/>
    <w:uiPriority w:val="39"/>
    <w:semiHidden/>
    <w:unhideWhenUsed/>
    <w:qFormat/>
  </w:style>
  <w:style w:type="paragraph" w:styleId="ac">
    <w:name w:val="Subtitle"/>
    <w:basedOn w:val="a"/>
    <w:next w:val="a"/>
    <w:link w:val="ad"/>
    <w:uiPriority w:val="11"/>
    <w:qFormat/>
    <w:pPr>
      <w:jc w:val="center"/>
    </w:pPr>
    <w:rPr>
      <w:rFonts w:asciiTheme="majorHAnsi" w:eastAsiaTheme="majorEastAsia" w:hAnsiTheme="majorHAnsi" w:cstheme="majorBidi"/>
      <w:color w:val="595959" w:themeColor="text1" w:themeTint="A6"/>
      <w:spacing w:val="15"/>
      <w:sz w:val="28"/>
      <w:szCs w:val="28"/>
      <w14:ligatures w14:val="standardContextual"/>
    </w:rPr>
  </w:style>
  <w:style w:type="paragraph" w:styleId="ae">
    <w:name w:val="footnote text"/>
    <w:basedOn w:val="a"/>
    <w:link w:val="af"/>
    <w:unhideWhenUsed/>
    <w:qFormat/>
    <w:pPr>
      <w:ind w:firstLineChars="0" w:firstLine="0"/>
    </w:pPr>
    <w:rPr>
      <w:rFonts w:cs="微软雅黑"/>
      <w:sz w:val="18"/>
    </w:rPr>
  </w:style>
  <w:style w:type="paragraph" w:styleId="TOC2">
    <w:name w:val="toc 2"/>
    <w:basedOn w:val="a"/>
    <w:next w:val="a"/>
    <w:uiPriority w:val="39"/>
    <w:semiHidden/>
    <w:unhideWhenUsed/>
    <w:qFormat/>
    <w:pPr>
      <w:ind w:leftChars="200" w:left="420"/>
    </w:pPr>
  </w:style>
  <w:style w:type="paragraph" w:styleId="af0">
    <w:name w:val="Normal (Web)"/>
    <w:basedOn w:val="a"/>
    <w:uiPriority w:val="99"/>
    <w:semiHidden/>
    <w:unhideWhenUsed/>
    <w:qFormat/>
    <w:pPr>
      <w:spacing w:beforeAutospacing="1" w:after="0" w:afterAutospacing="1"/>
      <w:jc w:val="left"/>
    </w:pPr>
    <w:rPr>
      <w:rFonts w:cs="Times New Roman"/>
      <w:kern w:val="0"/>
      <w:sz w:val="24"/>
    </w:rPr>
  </w:style>
  <w:style w:type="paragraph" w:styleId="af1">
    <w:name w:val="Title"/>
    <w:basedOn w:val="a"/>
    <w:next w:val="a"/>
    <w:link w:val="af2"/>
    <w:uiPriority w:val="10"/>
    <w:qFormat/>
    <w:pPr>
      <w:ind w:firstLineChars="0" w:firstLine="0"/>
      <w:jc w:val="center"/>
    </w:pPr>
    <w:rPr>
      <w:rFonts w:cs="方正小标宋"/>
      <w:b/>
      <w:bCs/>
      <w:sz w:val="28"/>
      <w:szCs w:val="28"/>
    </w:rPr>
  </w:style>
  <w:style w:type="paragraph" w:styleId="af3">
    <w:name w:val="annotation subject"/>
    <w:basedOn w:val="a4"/>
    <w:next w:val="a4"/>
    <w:link w:val="af4"/>
    <w:uiPriority w:val="99"/>
    <w:semiHidden/>
    <w:unhideWhenUsed/>
    <w:qFormat/>
    <w:rPr>
      <w:b/>
      <w:bCs/>
    </w:rPr>
  </w:style>
  <w:style w:type="table" w:styleId="af5">
    <w:name w:val="Table Grid"/>
    <w:basedOn w:val="a2"/>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Pr>
      <w:b/>
    </w:rPr>
  </w:style>
  <w:style w:type="character" w:styleId="af7">
    <w:name w:val="page number"/>
    <w:basedOn w:val="a1"/>
    <w:uiPriority w:val="99"/>
    <w:semiHidden/>
    <w:unhideWhenUsed/>
    <w:qFormat/>
  </w:style>
  <w:style w:type="character" w:styleId="af8">
    <w:name w:val="FollowedHyperlink"/>
    <w:basedOn w:val="a1"/>
    <w:uiPriority w:val="99"/>
    <w:semiHidden/>
    <w:unhideWhenUsed/>
    <w:qFormat/>
    <w:rPr>
      <w:color w:val="954F72" w:themeColor="followedHyperlink"/>
      <w:u w:val="single"/>
    </w:rPr>
  </w:style>
  <w:style w:type="character" w:styleId="af9">
    <w:name w:val="Hyperlink"/>
    <w:basedOn w:val="a1"/>
    <w:uiPriority w:val="99"/>
    <w:unhideWhenUsed/>
    <w:qFormat/>
    <w:rPr>
      <w:color w:val="0563C1" w:themeColor="hyperlink"/>
      <w:u w:val="single"/>
    </w:rPr>
  </w:style>
  <w:style w:type="character" w:styleId="afa">
    <w:name w:val="annotation reference"/>
    <w:basedOn w:val="a1"/>
    <w:uiPriority w:val="99"/>
    <w:semiHidden/>
    <w:unhideWhenUsed/>
    <w:qFormat/>
    <w:rPr>
      <w:sz w:val="21"/>
      <w:szCs w:val="21"/>
    </w:rPr>
  </w:style>
  <w:style w:type="character" w:styleId="afb">
    <w:name w:val="footnote reference"/>
    <w:basedOn w:val="a1"/>
    <w:unhideWhenUsed/>
    <w:qFormat/>
    <w:rPr>
      <w:vertAlign w:val="superscript"/>
    </w:rPr>
  </w:style>
  <w:style w:type="character" w:customStyle="1" w:styleId="af2">
    <w:name w:val="标题 字符"/>
    <w:basedOn w:val="a1"/>
    <w:link w:val="af1"/>
    <w:uiPriority w:val="10"/>
    <w:qFormat/>
    <w:rPr>
      <w:rFonts w:ascii="仿宋" w:eastAsia="仿宋" w:hAnsi="仿宋" w:cs="方正小标宋"/>
      <w:b/>
      <w:bCs/>
      <w:kern w:val="2"/>
      <w:sz w:val="28"/>
      <w:szCs w:val="28"/>
    </w:rPr>
  </w:style>
  <w:style w:type="character" w:customStyle="1" w:styleId="20">
    <w:name w:val="标题 2 字符"/>
    <w:basedOn w:val="a1"/>
    <w:link w:val="2"/>
    <w:uiPriority w:val="9"/>
    <w:qFormat/>
    <w:rPr>
      <w:rFonts w:asciiTheme="majorHAnsi" w:eastAsia="楷体" w:hAnsiTheme="majorHAnsi" w:cstheme="majorBidi"/>
      <w:bCs/>
      <w:kern w:val="2"/>
      <w:sz w:val="32"/>
      <w:szCs w:val="32"/>
    </w:rPr>
  </w:style>
  <w:style w:type="character" w:customStyle="1" w:styleId="10">
    <w:name w:val="标题 1 字符"/>
    <w:basedOn w:val="a1"/>
    <w:link w:val="1"/>
    <w:uiPriority w:val="9"/>
    <w:qFormat/>
    <w:rPr>
      <w:rFonts w:ascii="黑体" w:eastAsia="黑体" w:hAnsi="黑体" w:cs="微软雅黑"/>
      <w:bCs/>
      <w:kern w:val="44"/>
      <w:sz w:val="22"/>
      <w:szCs w:val="22"/>
    </w:rPr>
  </w:style>
  <w:style w:type="character" w:customStyle="1" w:styleId="a7">
    <w:name w:val="批注框文本 字符"/>
    <w:basedOn w:val="a1"/>
    <w:link w:val="a6"/>
    <w:uiPriority w:val="99"/>
    <w:semiHidden/>
    <w:qFormat/>
    <w:rPr>
      <w:rFonts w:ascii="宋体" w:eastAsia="宋体" w:hAnsi="Times New Roman" w:cs="Times New Roman (正文 CS 字体)"/>
      <w:sz w:val="18"/>
      <w:szCs w:val="18"/>
    </w:rPr>
  </w:style>
  <w:style w:type="character" w:customStyle="1" w:styleId="af">
    <w:name w:val="脚注文本 字符"/>
    <w:basedOn w:val="a1"/>
    <w:link w:val="ae"/>
    <w:uiPriority w:val="99"/>
    <w:qFormat/>
    <w:rPr>
      <w:rFonts w:ascii="Times New Roman" w:eastAsia="SimSun-ExtB" w:hAnsi="Times New Roman" w:cs="微软雅黑"/>
      <w:sz w:val="18"/>
    </w:rPr>
  </w:style>
  <w:style w:type="paragraph" w:styleId="afc">
    <w:name w:val="List Paragraph"/>
    <w:basedOn w:val="a"/>
    <w:uiPriority w:val="34"/>
    <w:qFormat/>
    <w:pPr>
      <w:ind w:firstLine="420"/>
    </w:pPr>
  </w:style>
  <w:style w:type="character" w:customStyle="1" w:styleId="11">
    <w:name w:val="未处理的提及1"/>
    <w:basedOn w:val="a1"/>
    <w:uiPriority w:val="99"/>
    <w:semiHidden/>
    <w:unhideWhenUsed/>
    <w:qFormat/>
    <w:rPr>
      <w:color w:val="605E5C"/>
      <w:shd w:val="clear" w:color="auto" w:fill="E1DFDD"/>
    </w:rPr>
  </w:style>
  <w:style w:type="character" w:customStyle="1" w:styleId="ab">
    <w:name w:val="页眉 字符"/>
    <w:basedOn w:val="a1"/>
    <w:link w:val="aa"/>
    <w:uiPriority w:val="99"/>
    <w:qFormat/>
    <w:rPr>
      <w:rFonts w:ascii="Times New Roman" w:eastAsia="仿宋" w:hAnsi="Times New Roman" w:cs="Times New Roman (正文 CS 字体)"/>
      <w:kern w:val="2"/>
      <w:sz w:val="18"/>
      <w:szCs w:val="18"/>
    </w:rPr>
  </w:style>
  <w:style w:type="character" w:customStyle="1" w:styleId="a9">
    <w:name w:val="页脚 字符"/>
    <w:basedOn w:val="a1"/>
    <w:link w:val="a8"/>
    <w:uiPriority w:val="99"/>
    <w:qFormat/>
    <w:rPr>
      <w:rFonts w:ascii="Times New Roman" w:eastAsia="仿宋" w:hAnsi="Times New Roman" w:cs="Times New Roman (正文 CS 字体)"/>
      <w:kern w:val="2"/>
      <w:sz w:val="18"/>
      <w:szCs w:val="18"/>
    </w:rPr>
  </w:style>
  <w:style w:type="paragraph" w:customStyle="1" w:styleId="31">
    <w:name w:val="标题3"/>
    <w:basedOn w:val="3"/>
    <w:link w:val="32"/>
    <w:qFormat/>
    <w:pPr>
      <w:keepNext w:val="0"/>
      <w:keepLines w:val="0"/>
      <w:spacing w:before="0" w:after="0" w:line="240" w:lineRule="auto"/>
    </w:pPr>
  </w:style>
  <w:style w:type="paragraph" w:customStyle="1" w:styleId="41">
    <w:name w:val="标题4"/>
    <w:basedOn w:val="a"/>
    <w:link w:val="42"/>
    <w:qFormat/>
    <w:pPr>
      <w:ind w:firstLine="640"/>
    </w:pPr>
    <w:rPr>
      <w:rFonts w:cs="仿宋"/>
      <w:szCs w:val="32"/>
    </w:rPr>
  </w:style>
  <w:style w:type="character" w:customStyle="1" w:styleId="32">
    <w:name w:val="标题3 字符"/>
    <w:basedOn w:val="a1"/>
    <w:link w:val="31"/>
    <w:qFormat/>
    <w:rPr>
      <w:rFonts w:ascii="Times New Roman" w:eastAsia="仿宋" w:hAnsi="Times New Roman" w:cs="Times New Roman (正文 CS 字体)"/>
      <w:b/>
      <w:bCs/>
      <w:kern w:val="2"/>
      <w:sz w:val="32"/>
      <w:szCs w:val="32"/>
    </w:rPr>
  </w:style>
  <w:style w:type="character" w:customStyle="1" w:styleId="30">
    <w:name w:val="标题 3 字符"/>
    <w:basedOn w:val="a1"/>
    <w:link w:val="3"/>
    <w:uiPriority w:val="9"/>
    <w:semiHidden/>
    <w:qFormat/>
    <w:rPr>
      <w:rFonts w:ascii="Times New Roman" w:eastAsia="仿宋" w:hAnsi="Times New Roman" w:cs="Times New Roman (正文 CS 字体)"/>
      <w:b/>
      <w:bCs/>
      <w:kern w:val="2"/>
      <w:sz w:val="32"/>
      <w:szCs w:val="32"/>
    </w:rPr>
  </w:style>
  <w:style w:type="character" w:customStyle="1" w:styleId="42">
    <w:name w:val="标题4 字符"/>
    <w:basedOn w:val="a1"/>
    <w:link w:val="41"/>
    <w:qFormat/>
    <w:rPr>
      <w:rFonts w:ascii="仿宋" w:eastAsia="仿宋" w:hAnsi="仿宋" w:cs="仿宋"/>
      <w:kern w:val="2"/>
      <w:sz w:val="32"/>
      <w:szCs w:val="32"/>
    </w:rPr>
  </w:style>
  <w:style w:type="table" w:customStyle="1" w:styleId="33">
    <w:name w:val="网格型3"/>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浅色1"/>
    <w:basedOn w:val="a2"/>
    <w:uiPriority w:val="40"/>
    <w:qFormat/>
    <w:rPr>
      <w:kern w:val="2"/>
      <w:sz w:val="21"/>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31">
    <w:name w:val="网格表 4 - 着色 31"/>
    <w:basedOn w:val="a2"/>
    <w:uiPriority w:val="49"/>
    <w:qFormat/>
    <w:rPr>
      <w:kern w:val="2"/>
      <w:sz w:val="21"/>
      <w:szCs w:val="22"/>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40">
    <w:name w:val="标题 4 字符"/>
    <w:basedOn w:val="a1"/>
    <w:link w:val="4"/>
    <w:uiPriority w:val="9"/>
    <w:semiHidden/>
    <w:qFormat/>
    <w:rPr>
      <w:rFonts w:cstheme="majorBidi"/>
      <w:color w:val="2F5496" w:themeColor="accent1" w:themeShade="BF"/>
      <w:kern w:val="2"/>
      <w:sz w:val="28"/>
      <w:szCs w:val="28"/>
      <w14:ligatures w14:val="standardContextual"/>
    </w:rPr>
  </w:style>
  <w:style w:type="character" w:customStyle="1" w:styleId="50">
    <w:name w:val="标题 5 字符"/>
    <w:basedOn w:val="a1"/>
    <w:link w:val="5"/>
    <w:uiPriority w:val="9"/>
    <w:semiHidden/>
    <w:qFormat/>
    <w:rPr>
      <w:rFonts w:cstheme="majorBidi"/>
      <w:color w:val="2F5496" w:themeColor="accent1" w:themeShade="BF"/>
      <w:kern w:val="2"/>
      <w:sz w:val="24"/>
      <w:szCs w:val="24"/>
      <w14:ligatures w14:val="standardContextual"/>
    </w:rPr>
  </w:style>
  <w:style w:type="character" w:customStyle="1" w:styleId="60">
    <w:name w:val="标题 6 字符"/>
    <w:basedOn w:val="a1"/>
    <w:link w:val="6"/>
    <w:uiPriority w:val="9"/>
    <w:semiHidden/>
    <w:qFormat/>
    <w:rPr>
      <w:rFonts w:cstheme="majorBidi"/>
      <w:b/>
      <w:bCs/>
      <w:color w:val="2F5496" w:themeColor="accent1" w:themeShade="BF"/>
      <w:kern w:val="2"/>
      <w:sz w:val="22"/>
      <w:szCs w:val="24"/>
      <w14:ligatures w14:val="standardContextual"/>
    </w:rPr>
  </w:style>
  <w:style w:type="character" w:customStyle="1" w:styleId="70">
    <w:name w:val="标题 7 字符"/>
    <w:basedOn w:val="a1"/>
    <w:link w:val="7"/>
    <w:uiPriority w:val="9"/>
    <w:semiHidden/>
    <w:qFormat/>
    <w:rPr>
      <w:rFonts w:cstheme="majorBidi"/>
      <w:b/>
      <w:bCs/>
      <w:color w:val="595959" w:themeColor="text1" w:themeTint="A6"/>
      <w:kern w:val="2"/>
      <w:sz w:val="22"/>
      <w:szCs w:val="24"/>
      <w14:ligatures w14:val="standardContextual"/>
    </w:rPr>
  </w:style>
  <w:style w:type="character" w:customStyle="1" w:styleId="80">
    <w:name w:val="标题 8 字符"/>
    <w:basedOn w:val="a1"/>
    <w:link w:val="8"/>
    <w:uiPriority w:val="9"/>
    <w:semiHidden/>
    <w:qFormat/>
    <w:rPr>
      <w:rFonts w:cstheme="majorBidi"/>
      <w:color w:val="595959" w:themeColor="text1" w:themeTint="A6"/>
      <w:kern w:val="2"/>
      <w:sz w:val="22"/>
      <w:szCs w:val="24"/>
      <w14:ligatures w14:val="standardContextual"/>
    </w:rPr>
  </w:style>
  <w:style w:type="character" w:customStyle="1" w:styleId="90">
    <w:name w:val="标题 9 字符"/>
    <w:basedOn w:val="a1"/>
    <w:link w:val="9"/>
    <w:uiPriority w:val="9"/>
    <w:semiHidden/>
    <w:qFormat/>
    <w:rPr>
      <w:rFonts w:eastAsiaTheme="majorEastAsia" w:cstheme="majorBidi"/>
      <w:color w:val="595959" w:themeColor="text1" w:themeTint="A6"/>
      <w:kern w:val="2"/>
      <w:sz w:val="22"/>
      <w:szCs w:val="24"/>
      <w14:ligatures w14:val="standardContextual"/>
    </w:rPr>
  </w:style>
  <w:style w:type="character" w:customStyle="1" w:styleId="ad">
    <w:name w:val="副标题 字符"/>
    <w:basedOn w:val="a1"/>
    <w:link w:val="ac"/>
    <w:uiPriority w:val="11"/>
    <w:qFormat/>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afd">
    <w:name w:val="Quote"/>
    <w:basedOn w:val="a"/>
    <w:next w:val="a"/>
    <w:link w:val="afe"/>
    <w:uiPriority w:val="29"/>
    <w:qFormat/>
    <w:pPr>
      <w:spacing w:before="160"/>
      <w:ind w:firstLineChars="0" w:firstLine="0"/>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fe">
    <w:name w:val="引用 字符"/>
    <w:basedOn w:val="a1"/>
    <w:link w:val="afd"/>
    <w:uiPriority w:val="29"/>
    <w:qFormat/>
    <w:rPr>
      <w:i/>
      <w:iCs/>
      <w:color w:val="404040" w:themeColor="text1" w:themeTint="BF"/>
      <w:kern w:val="2"/>
      <w:sz w:val="22"/>
      <w:szCs w:val="24"/>
      <w14:ligatures w14:val="standardContextual"/>
    </w:rPr>
  </w:style>
  <w:style w:type="character" w:customStyle="1" w:styleId="13">
    <w:name w:val="明显强调1"/>
    <w:basedOn w:val="a1"/>
    <w:uiPriority w:val="21"/>
    <w:qFormat/>
    <w:rPr>
      <w:i/>
      <w:iCs/>
      <w:color w:val="2F5496" w:themeColor="accent1" w:themeShade="BF"/>
    </w:rPr>
  </w:style>
  <w:style w:type="paragraph" w:styleId="aff">
    <w:name w:val="Intense Quote"/>
    <w:basedOn w:val="a"/>
    <w:next w:val="a"/>
    <w:link w:val="aff0"/>
    <w:uiPriority w:val="30"/>
    <w:qFormat/>
    <w:pPr>
      <w:pBdr>
        <w:top w:val="single" w:sz="4" w:space="10" w:color="2F5496" w:themeColor="accent1" w:themeShade="BF"/>
        <w:bottom w:val="single" w:sz="4" w:space="10" w:color="2F5496" w:themeColor="accent1" w:themeShade="BF"/>
      </w:pBdr>
      <w:spacing w:before="360" w:after="360"/>
      <w:ind w:left="864" w:right="864" w:firstLineChars="0" w:firstLine="0"/>
      <w:jc w:val="center"/>
    </w:pPr>
    <w:rPr>
      <w:rFonts w:asciiTheme="minorHAnsi" w:eastAsiaTheme="minorEastAsia" w:hAnsiTheme="minorHAnsi" w:cstheme="minorBidi"/>
      <w:i/>
      <w:iCs/>
      <w:color w:val="2F5496" w:themeColor="accent1" w:themeShade="BF"/>
      <w:sz w:val="22"/>
      <w14:ligatures w14:val="standardContextual"/>
    </w:rPr>
  </w:style>
  <w:style w:type="character" w:customStyle="1" w:styleId="aff0">
    <w:name w:val="明显引用 字符"/>
    <w:basedOn w:val="a1"/>
    <w:link w:val="aff"/>
    <w:uiPriority w:val="30"/>
    <w:qFormat/>
    <w:rPr>
      <w:i/>
      <w:iCs/>
      <w:color w:val="2F5496" w:themeColor="accent1" w:themeShade="BF"/>
      <w:kern w:val="2"/>
      <w:sz w:val="22"/>
      <w:szCs w:val="24"/>
      <w14:ligatures w14:val="standardContextual"/>
    </w:rPr>
  </w:style>
  <w:style w:type="character" w:customStyle="1" w:styleId="14">
    <w:name w:val="明显参考1"/>
    <w:basedOn w:val="a1"/>
    <w:uiPriority w:val="32"/>
    <w:qFormat/>
    <w:rPr>
      <w:b/>
      <w:bCs/>
      <w:smallCaps/>
      <w:color w:val="2F5496" w:themeColor="accent1" w:themeShade="BF"/>
      <w:spacing w:val="5"/>
    </w:rPr>
  </w:style>
  <w:style w:type="paragraph" w:customStyle="1" w:styleId="15">
    <w:name w:val="修订1"/>
    <w:hidden/>
    <w:uiPriority w:val="99"/>
    <w:semiHidden/>
    <w:qFormat/>
    <w:pPr>
      <w:spacing w:after="160" w:line="278" w:lineRule="auto"/>
    </w:pPr>
    <w:rPr>
      <w:rFonts w:asciiTheme="minorHAnsi" w:eastAsiaTheme="minorEastAsia" w:hAnsiTheme="minorHAnsi" w:cstheme="minorBidi"/>
      <w:kern w:val="2"/>
      <w:sz w:val="22"/>
      <w:szCs w:val="24"/>
      <w14:ligatures w14:val="standardContextual"/>
    </w:rPr>
  </w:style>
  <w:style w:type="character" w:customStyle="1" w:styleId="text-tag">
    <w:name w:val="text-tag"/>
    <w:basedOn w:val="a1"/>
    <w:qFormat/>
  </w:style>
  <w:style w:type="paragraph" w:customStyle="1" w:styleId="21">
    <w:name w:val="修订2"/>
    <w:hidden/>
    <w:uiPriority w:val="99"/>
    <w:unhideWhenUsed/>
    <w:qFormat/>
    <w:pPr>
      <w:spacing w:after="160" w:line="278" w:lineRule="auto"/>
    </w:pPr>
    <w:rPr>
      <w:rFonts w:ascii="仿宋" w:eastAsia="仿宋" w:hAnsi="仿宋" w:cs="Times New Roman (正文 CS 字体)"/>
      <w:kern w:val="2"/>
      <w:sz w:val="21"/>
      <w:szCs w:val="24"/>
    </w:rPr>
  </w:style>
  <w:style w:type="character" w:customStyle="1" w:styleId="a5">
    <w:name w:val="批注文字 字符"/>
    <w:basedOn w:val="a1"/>
    <w:link w:val="a4"/>
    <w:uiPriority w:val="99"/>
    <w:qFormat/>
    <w:rPr>
      <w:rFonts w:ascii="仿宋" w:eastAsia="仿宋" w:hAnsi="仿宋" w:cs="Times New Roman (正文 CS 字体)"/>
      <w:kern w:val="2"/>
      <w:sz w:val="21"/>
      <w:szCs w:val="24"/>
    </w:rPr>
  </w:style>
  <w:style w:type="character" w:customStyle="1" w:styleId="af4">
    <w:name w:val="批注主题 字符"/>
    <w:basedOn w:val="a5"/>
    <w:link w:val="af3"/>
    <w:uiPriority w:val="99"/>
    <w:semiHidden/>
    <w:qFormat/>
    <w:rPr>
      <w:rFonts w:ascii="仿宋" w:eastAsia="仿宋" w:hAnsi="仿宋" w:cs="Times New Roman (正文 CS 字体)"/>
      <w:b/>
      <w:bCs/>
      <w:kern w:val="2"/>
      <w:sz w:val="21"/>
      <w:szCs w:val="24"/>
    </w:rPr>
  </w:style>
  <w:style w:type="character" w:customStyle="1" w:styleId="22">
    <w:name w:val="未处理的提及2"/>
    <w:basedOn w:val="a1"/>
    <w:uiPriority w:val="99"/>
    <w:semiHidden/>
    <w:unhideWhenUsed/>
    <w:qFormat/>
    <w:rPr>
      <w:color w:val="605E5C"/>
      <w:shd w:val="clear" w:color="auto" w:fill="E1DFDD"/>
    </w:rPr>
  </w:style>
  <w:style w:type="paragraph" w:customStyle="1" w:styleId="34">
    <w:name w:val="修订3"/>
    <w:hidden/>
    <w:uiPriority w:val="99"/>
    <w:unhideWhenUsed/>
    <w:qFormat/>
    <w:pPr>
      <w:spacing w:after="160" w:line="278" w:lineRule="auto"/>
    </w:pPr>
    <w:rPr>
      <w:rFonts w:ascii="仿宋" w:eastAsia="仿宋" w:hAnsi="仿宋" w:cs="Times New Roman (正文 CS 字体)"/>
      <w:kern w:val="2"/>
      <w:sz w:val="21"/>
      <w:szCs w:val="24"/>
    </w:rPr>
  </w:style>
  <w:style w:type="paragraph" w:customStyle="1" w:styleId="43">
    <w:name w:val="修订4"/>
    <w:hidden/>
    <w:uiPriority w:val="99"/>
    <w:unhideWhenUsed/>
    <w:qFormat/>
    <w:rPr>
      <w:rFonts w:ascii="仿宋" w:eastAsia="仿宋" w:hAnsi="仿宋" w:cs="Times New Roman (正文 CS 字体)"/>
      <w:kern w:val="2"/>
      <w:sz w:val="21"/>
      <w:szCs w:val="24"/>
    </w:rPr>
  </w:style>
  <w:style w:type="paragraph" w:customStyle="1" w:styleId="style">
    <w:name w:val="style"/>
    <w:basedOn w:val="a"/>
    <w:qFormat/>
    <w:rPr>
      <w:rFonts w:ascii="Times New Roman" w:eastAsia="仿宋_GB2312" w:hAnsi="Times New Roman" w:cs="Times New Roman"/>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5061</Words>
  <Characters>5061</Characters>
  <Application>Microsoft Office Word</Application>
  <DocSecurity>0</DocSecurity>
  <Lines>241</Lines>
  <Paragraphs>190</Paragraphs>
  <ScaleCrop>false</ScaleCrop>
  <Company/>
  <LinksUpToDate>false</LinksUpToDate>
  <CharactersWithSpaces>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1701212234@pku.edu.cn</dc:creator>
  <cp:lastModifiedBy>QS Y</cp:lastModifiedBy>
  <cp:revision>2</cp:revision>
  <cp:lastPrinted>2025-09-30T17:23:00Z</cp:lastPrinted>
  <dcterms:created xsi:type="dcterms:W3CDTF">2025-11-17T00:56:00Z</dcterms:created>
  <dcterms:modified xsi:type="dcterms:W3CDTF">2025-11-17T00:56:00Z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53D740FD337DED6FF0E5BF685C51537D</vt:lpwstr>
  </property>
</Properties>
</file>